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48" w:rsidRDefault="005A3F81" w:rsidP="0091331B">
      <w:pPr>
        <w:spacing w:before="176"/>
        <w:jc w:val="right"/>
        <w:rPr>
          <w:i/>
          <w:sz w:val="24"/>
        </w:rPr>
      </w:pPr>
      <w:r>
        <w:rPr>
          <w:i/>
          <w:sz w:val="24"/>
        </w:rPr>
        <w:t xml:space="preserve">Effective </w:t>
      </w:r>
      <w:r w:rsidR="00E6167E">
        <w:rPr>
          <w:i/>
          <w:sz w:val="24"/>
        </w:rPr>
        <w:t xml:space="preserve">October </w:t>
      </w:r>
      <w:r w:rsidR="00C95814">
        <w:rPr>
          <w:i/>
          <w:sz w:val="24"/>
        </w:rPr>
        <w:t>2017</w:t>
      </w:r>
    </w:p>
    <w:p w:rsidR="00151948" w:rsidRDefault="00151948">
      <w:pPr>
        <w:pStyle w:val="BodyText"/>
        <w:spacing w:before="6"/>
        <w:rPr>
          <w:i/>
          <w:sz w:val="20"/>
        </w:rPr>
      </w:pPr>
    </w:p>
    <w:p w:rsidR="00151948" w:rsidRDefault="005A3F81">
      <w:pPr>
        <w:pStyle w:val="Heading1"/>
        <w:spacing w:before="1" w:line="242" w:lineRule="auto"/>
        <w:ind w:left="2729" w:right="2481" w:hanging="251"/>
      </w:pPr>
      <w:r>
        <w:t>CHARTER OF THE AUDIT COMMITTEE OF THE BOARD OF DIRECTORS OF</w:t>
      </w:r>
    </w:p>
    <w:p w:rsidR="00151948" w:rsidRDefault="00E6167E" w:rsidP="00C95814">
      <w:pPr>
        <w:spacing w:line="271" w:lineRule="exact"/>
        <w:ind w:left="2166" w:right="2103"/>
        <w:jc w:val="center"/>
        <w:rPr>
          <w:b/>
          <w:sz w:val="24"/>
        </w:rPr>
      </w:pPr>
      <w:r>
        <w:rPr>
          <w:b/>
          <w:sz w:val="24"/>
        </w:rPr>
        <w:t>RIOT BLOCKCHAIN</w:t>
      </w:r>
      <w:r w:rsidR="00C95814">
        <w:rPr>
          <w:b/>
          <w:sz w:val="24"/>
        </w:rPr>
        <w:t>, INC.</w:t>
      </w:r>
    </w:p>
    <w:p w:rsidR="00151948" w:rsidRDefault="00151948">
      <w:pPr>
        <w:pStyle w:val="BodyText"/>
        <w:rPr>
          <w:b/>
          <w:sz w:val="21"/>
        </w:rPr>
      </w:pPr>
    </w:p>
    <w:p w:rsidR="00151948" w:rsidRDefault="005A3F81">
      <w:pPr>
        <w:pStyle w:val="BodyText"/>
        <w:spacing w:before="1"/>
        <w:ind w:left="100" w:right="303" w:firstLine="720"/>
      </w:pPr>
      <w:r>
        <w:t>This Charter outlines the purpose, composition and r</w:t>
      </w:r>
      <w:bookmarkStart w:id="0" w:name="_GoBack"/>
      <w:bookmarkEnd w:id="0"/>
      <w:r>
        <w:t>esponsibilities of the Audit Committee (the “</w:t>
      </w:r>
      <w:r>
        <w:rPr>
          <w:b/>
        </w:rPr>
        <w:t>Committee</w:t>
      </w:r>
      <w:r>
        <w:t>”) of the Board of Directors (the “</w:t>
      </w:r>
      <w:r>
        <w:rPr>
          <w:b/>
        </w:rPr>
        <w:t>Board</w:t>
      </w:r>
      <w:r>
        <w:t xml:space="preserve">”) of </w:t>
      </w:r>
      <w:r w:rsidR="00E6167E">
        <w:t xml:space="preserve">Riot </w:t>
      </w:r>
      <w:proofErr w:type="spellStart"/>
      <w:r w:rsidR="00E6167E">
        <w:t>Blockchain</w:t>
      </w:r>
      <w:proofErr w:type="spellEnd"/>
      <w:r w:rsidR="00C95814" w:rsidRPr="00C95814">
        <w:t>, Inc.</w:t>
      </w:r>
      <w:r>
        <w:t xml:space="preserve">, a </w:t>
      </w:r>
      <w:r w:rsidR="00E6167E">
        <w:t xml:space="preserve">Nevada </w:t>
      </w:r>
      <w:r>
        <w:t>corporation (the “</w:t>
      </w:r>
      <w:r>
        <w:rPr>
          <w:b/>
        </w:rPr>
        <w:t>Company</w:t>
      </w:r>
      <w:r>
        <w:t>”).</w:t>
      </w:r>
    </w:p>
    <w:p w:rsidR="00151948" w:rsidRDefault="00151948">
      <w:pPr>
        <w:pStyle w:val="BodyText"/>
        <w:spacing w:before="7"/>
        <w:rPr>
          <w:sz w:val="20"/>
        </w:rPr>
      </w:pPr>
    </w:p>
    <w:p w:rsidR="00151948" w:rsidRDefault="005A3F81">
      <w:pPr>
        <w:pStyle w:val="Heading1"/>
        <w:numPr>
          <w:ilvl w:val="0"/>
          <w:numId w:val="2"/>
        </w:numPr>
        <w:tabs>
          <w:tab w:val="left" w:pos="819"/>
          <w:tab w:val="left" w:pos="820"/>
        </w:tabs>
      </w:pPr>
      <w:r>
        <w:t>PURPOSE</w:t>
      </w:r>
    </w:p>
    <w:p w:rsidR="00151948" w:rsidRDefault="00151948">
      <w:pPr>
        <w:pStyle w:val="BodyText"/>
        <w:rPr>
          <w:b/>
          <w:sz w:val="21"/>
        </w:rPr>
      </w:pPr>
    </w:p>
    <w:p w:rsidR="00151948" w:rsidRDefault="005A3F81">
      <w:pPr>
        <w:pStyle w:val="BodyText"/>
        <w:ind w:left="100" w:right="109" w:firstLine="720"/>
      </w:pPr>
      <w:r>
        <w:t>The Committee has been established to: (a) represent and assist the Board in its oversight responsibilities regarding the Company’s accounting and financial reporting processes, the audits of the Company’s financial statements, including the integrity of the financial statements, and the independent auditors’ qualifications and independence; (b) oversee the preparation of the report required by Securities and Exchange Commission (“</w:t>
      </w:r>
      <w:r>
        <w:rPr>
          <w:b/>
        </w:rPr>
        <w:t>SEC</w:t>
      </w:r>
      <w:r>
        <w:t>”) rules for inclusion in the Company’s annual proxy statement; (c) retain and terminate the Company’s independent auditors; (d) approve in advance all audit and permissible non-audit services to be performed by the independent auditors; (e) approve related person transactions; and (f) perform such other functions as the Board may from time to time assign to the Committee.</w:t>
      </w:r>
    </w:p>
    <w:p w:rsidR="00151948" w:rsidRDefault="00151948">
      <w:pPr>
        <w:pStyle w:val="BodyText"/>
        <w:spacing w:before="7"/>
        <w:rPr>
          <w:sz w:val="20"/>
        </w:rPr>
      </w:pPr>
    </w:p>
    <w:p w:rsidR="00151948" w:rsidRDefault="005A3F81">
      <w:pPr>
        <w:pStyle w:val="Heading1"/>
        <w:numPr>
          <w:ilvl w:val="0"/>
          <w:numId w:val="2"/>
        </w:numPr>
        <w:tabs>
          <w:tab w:val="left" w:pos="819"/>
          <w:tab w:val="left" w:pos="820"/>
        </w:tabs>
      </w:pPr>
      <w:r>
        <w:t>COMPOSITION</w:t>
      </w:r>
    </w:p>
    <w:p w:rsidR="00151948" w:rsidRDefault="00151948">
      <w:pPr>
        <w:pStyle w:val="BodyText"/>
        <w:rPr>
          <w:b/>
          <w:sz w:val="21"/>
        </w:rPr>
      </w:pPr>
    </w:p>
    <w:p w:rsidR="00151948" w:rsidRDefault="005A3F81">
      <w:pPr>
        <w:pStyle w:val="BodyText"/>
        <w:ind w:left="100" w:right="141" w:firstLine="720"/>
      </w:pPr>
      <w:r>
        <w:t xml:space="preserve">The Committee shall be composed of at least three members (including a Chairperson), all of whom shall be “independent,” as such term is defined for directors and audit committee members in the rules and regulations of the SEC and the listing standards of the NASDAQ Stock Market LLC, as determined by the Board. The members of the Committee and the Chairperson shall be selected annually by the Board and serve at the pleasure of the Board. A Committee member (including the Chairperson) may be removed at any time, with or without cause, by the Board.  All members of the Committee shall be able to read and understand financial statements at the time of their </w:t>
      </w:r>
      <w:proofErr w:type="gramStart"/>
      <w:r>
        <w:t>appointment,</w:t>
      </w:r>
      <w:proofErr w:type="gramEnd"/>
      <w:r>
        <w:t xml:space="preserve"> and at least one member of the Committee shall qualify as an “audit committee financial expert” as such term is defined in the rules and regulations of the SEC, as determined by the Board. In addition, no Committee member may have participated in the preparation of the financial statements of the Company or any of the Company’s current subsidiaries at any time during the past three years. The Chairperson shall maintain regular communication with the Company’s Chief Executive Officer, Chief Financial Officer and the lead partner of the independent auditors. The Committee shall have authority to delegate responsibilities listed herein to subcommittees of the Committee if the Committee determines such delegation would be in the best interest of the Company.</w:t>
      </w:r>
    </w:p>
    <w:p w:rsidR="00151948" w:rsidRDefault="00151948">
      <w:pPr>
        <w:pStyle w:val="BodyText"/>
        <w:rPr>
          <w:sz w:val="21"/>
        </w:rPr>
      </w:pPr>
    </w:p>
    <w:p w:rsidR="00151948" w:rsidRDefault="005A3F81">
      <w:pPr>
        <w:pStyle w:val="Heading1"/>
        <w:numPr>
          <w:ilvl w:val="0"/>
          <w:numId w:val="2"/>
        </w:numPr>
        <w:tabs>
          <w:tab w:val="left" w:pos="819"/>
          <w:tab w:val="left" w:pos="820"/>
        </w:tabs>
      </w:pPr>
      <w:r>
        <w:t>MEETING</w:t>
      </w:r>
      <w:r>
        <w:rPr>
          <w:spacing w:val="-4"/>
        </w:rPr>
        <w:t xml:space="preserve"> </w:t>
      </w:r>
      <w:r>
        <w:t>REQUIREMENTS</w:t>
      </w:r>
    </w:p>
    <w:p w:rsidR="00151948" w:rsidRDefault="00151948">
      <w:pPr>
        <w:pStyle w:val="BodyText"/>
        <w:spacing w:before="7"/>
        <w:rPr>
          <w:b/>
          <w:sz w:val="20"/>
        </w:rPr>
      </w:pPr>
    </w:p>
    <w:p w:rsidR="00151948" w:rsidRDefault="005A3F81">
      <w:pPr>
        <w:pStyle w:val="BodyText"/>
        <w:ind w:left="100" w:right="322" w:firstLine="720"/>
      </w:pPr>
      <w:r>
        <w:t>The Committee shall meet as necessary to enable it to fulfill its responsibilities but at least quarterly. A majority of the members, but not less than two members, shall constitute a quorum.  The Committee shall act on the affirmative vote of a majority of the members present</w:t>
      </w:r>
    </w:p>
    <w:p w:rsidR="00151948" w:rsidRDefault="00151948">
      <w:pPr>
        <w:sectPr w:rsidR="00151948">
          <w:type w:val="continuous"/>
          <w:pgSz w:w="12240" w:h="15840"/>
          <w:pgMar w:top="1500" w:right="1320" w:bottom="280" w:left="1340" w:header="720" w:footer="720" w:gutter="0"/>
          <w:cols w:space="720"/>
        </w:sectPr>
      </w:pPr>
    </w:p>
    <w:p w:rsidR="00151948" w:rsidRDefault="005A3F81">
      <w:pPr>
        <w:pStyle w:val="BodyText"/>
        <w:spacing w:before="79" w:line="237" w:lineRule="auto"/>
        <w:ind w:left="100" w:right="222"/>
      </w:pPr>
      <w:proofErr w:type="gramStart"/>
      <w:r>
        <w:lastRenderedPageBreak/>
        <w:t>at</w:t>
      </w:r>
      <w:proofErr w:type="gramEnd"/>
      <w:r>
        <w:t xml:space="preserve"> a meeting at which a quorum is present. Without a meeting, the Committee may act by unanimous written consent of all members.</w:t>
      </w:r>
    </w:p>
    <w:p w:rsidR="00151948" w:rsidRDefault="00151948">
      <w:pPr>
        <w:pStyle w:val="BodyText"/>
        <w:rPr>
          <w:sz w:val="21"/>
        </w:rPr>
      </w:pPr>
    </w:p>
    <w:p w:rsidR="00151948" w:rsidRDefault="005A3F81">
      <w:pPr>
        <w:pStyle w:val="BodyText"/>
        <w:ind w:left="100" w:right="222" w:firstLine="720"/>
      </w:pPr>
      <w:r>
        <w:t>The Committee may ask members of management, employees, outside counsel, the independent auditors, or others whose advice and counsel are relevant to the issues then being considered by the Committee, to attend any meetings and to provide such pertinent information as the Committee may request.</w:t>
      </w:r>
    </w:p>
    <w:p w:rsidR="00151948" w:rsidRDefault="00151948">
      <w:pPr>
        <w:pStyle w:val="BodyText"/>
        <w:rPr>
          <w:sz w:val="21"/>
        </w:rPr>
      </w:pPr>
    </w:p>
    <w:p w:rsidR="00151948" w:rsidRDefault="005A3F81">
      <w:pPr>
        <w:pStyle w:val="BodyText"/>
        <w:ind w:left="100" w:right="175" w:firstLine="720"/>
      </w:pPr>
      <w:r>
        <w:t>The Chairperson of the Committee shall be responsible for leadership of the Committee, including preparing the agenda, presiding over Committee meetings, making Committee assignments, reporting on the Committee’s activities to the Board and being the lead liaison between the Committee and the Company’s management and independent auditors.</w:t>
      </w:r>
    </w:p>
    <w:p w:rsidR="00151948" w:rsidRDefault="00151948">
      <w:pPr>
        <w:pStyle w:val="BodyText"/>
        <w:rPr>
          <w:sz w:val="21"/>
        </w:rPr>
      </w:pPr>
    </w:p>
    <w:p w:rsidR="00151948" w:rsidRDefault="005A3F81">
      <w:pPr>
        <w:pStyle w:val="BodyText"/>
        <w:ind w:left="100" w:right="221" w:firstLine="720"/>
      </w:pPr>
      <w:r>
        <w:t>As part of its responsibility to foster free and open communication, the Committee shall meet periodically in separate executive sessions with the independent auditors, and may also meet in separate executive sessions with such other individuals as the Committee chooses, including the principal internal auditor and/or a senior attorney within the office of the General Counsel.</w:t>
      </w:r>
    </w:p>
    <w:p w:rsidR="00151948" w:rsidRDefault="00151948">
      <w:pPr>
        <w:pStyle w:val="BodyText"/>
        <w:spacing w:before="7"/>
        <w:rPr>
          <w:sz w:val="20"/>
        </w:rPr>
      </w:pPr>
    </w:p>
    <w:p w:rsidR="00151948" w:rsidRDefault="005A3F81">
      <w:pPr>
        <w:pStyle w:val="Heading1"/>
        <w:numPr>
          <w:ilvl w:val="0"/>
          <w:numId w:val="2"/>
        </w:numPr>
        <w:tabs>
          <w:tab w:val="left" w:pos="819"/>
          <w:tab w:val="left" w:pos="820"/>
        </w:tabs>
      </w:pPr>
      <w:r>
        <w:t>COMMITTEE</w:t>
      </w:r>
      <w:r>
        <w:rPr>
          <w:spacing w:val="-5"/>
        </w:rPr>
        <w:t xml:space="preserve"> </w:t>
      </w:r>
      <w:r>
        <w:t>RESPONSIBILITIES</w:t>
      </w:r>
    </w:p>
    <w:p w:rsidR="00151948" w:rsidRDefault="00151948">
      <w:pPr>
        <w:pStyle w:val="BodyText"/>
        <w:rPr>
          <w:b/>
          <w:sz w:val="21"/>
        </w:rPr>
      </w:pPr>
    </w:p>
    <w:p w:rsidR="00151948" w:rsidRDefault="005A3F81">
      <w:pPr>
        <w:pStyle w:val="BodyText"/>
        <w:ind w:left="100" w:right="122" w:firstLine="720"/>
      </w:pPr>
      <w:r>
        <w:t>In carrying out its oversight responsibilities, the Committee’s policies and procedures should remain flexible to enable the Committee to react to changes in circumstances. In addition to such other duties as the Board may from time to time assign, the Committee shall have the following responsibilities:</w:t>
      </w:r>
    </w:p>
    <w:p w:rsidR="00151948" w:rsidRDefault="00151948">
      <w:pPr>
        <w:pStyle w:val="BodyText"/>
        <w:rPr>
          <w:sz w:val="21"/>
        </w:rPr>
      </w:pPr>
    </w:p>
    <w:p w:rsidR="00151948" w:rsidRDefault="005A3F81">
      <w:pPr>
        <w:pStyle w:val="ListParagraph"/>
        <w:numPr>
          <w:ilvl w:val="0"/>
          <w:numId w:val="1"/>
        </w:numPr>
        <w:tabs>
          <w:tab w:val="left" w:pos="819"/>
          <w:tab w:val="left" w:pos="820"/>
        </w:tabs>
        <w:rPr>
          <w:sz w:val="24"/>
        </w:rPr>
      </w:pPr>
      <w:r>
        <w:rPr>
          <w:sz w:val="24"/>
          <w:u w:val="single"/>
        </w:rPr>
        <w:t>Oversight of the Financial Reporting</w:t>
      </w:r>
      <w:r>
        <w:rPr>
          <w:spacing w:val="-17"/>
          <w:sz w:val="24"/>
          <w:u w:val="single"/>
        </w:rPr>
        <w:t xml:space="preserve"> </w:t>
      </w:r>
      <w:r>
        <w:rPr>
          <w:sz w:val="24"/>
          <w:u w:val="single"/>
        </w:rPr>
        <w:t>Processes</w:t>
      </w:r>
    </w:p>
    <w:p w:rsidR="00151948" w:rsidRDefault="00151948">
      <w:pPr>
        <w:pStyle w:val="BodyText"/>
        <w:spacing w:before="7"/>
        <w:rPr>
          <w:sz w:val="20"/>
        </w:rPr>
      </w:pPr>
    </w:p>
    <w:p w:rsidR="00151948" w:rsidRDefault="005A3F81">
      <w:pPr>
        <w:pStyle w:val="ListParagraph"/>
        <w:numPr>
          <w:ilvl w:val="1"/>
          <w:numId w:val="1"/>
        </w:numPr>
        <w:tabs>
          <w:tab w:val="left" w:pos="1539"/>
          <w:tab w:val="left" w:pos="1540"/>
        </w:tabs>
        <w:ind w:right="366"/>
        <w:rPr>
          <w:sz w:val="24"/>
        </w:rPr>
      </w:pPr>
      <w:r>
        <w:rPr>
          <w:sz w:val="24"/>
        </w:rPr>
        <w:t>Review and discuss with the independent auditors the matters required to be discussed by the independent auditors under Auditing Standard No. 16, as adopted by the Public Company Accounting Oversight Board (“</w:t>
      </w:r>
      <w:r>
        <w:rPr>
          <w:b/>
          <w:sz w:val="24"/>
        </w:rPr>
        <w:t>PCAOB</w:t>
      </w:r>
      <w:r>
        <w:rPr>
          <w:sz w:val="24"/>
        </w:rPr>
        <w:t>”) and amended from time to time, or any successor standard, rule or</w:t>
      </w:r>
      <w:r>
        <w:rPr>
          <w:spacing w:val="-29"/>
          <w:sz w:val="24"/>
        </w:rPr>
        <w:t xml:space="preserve"> </w:t>
      </w:r>
      <w:r>
        <w:rPr>
          <w:sz w:val="24"/>
        </w:rPr>
        <w:t>regulation.</w:t>
      </w:r>
    </w:p>
    <w:p w:rsidR="00151948" w:rsidRDefault="00151948">
      <w:pPr>
        <w:pStyle w:val="BodyText"/>
        <w:spacing w:before="7"/>
        <w:rPr>
          <w:sz w:val="20"/>
        </w:rPr>
      </w:pPr>
    </w:p>
    <w:p w:rsidR="00151948" w:rsidRDefault="005A3F81">
      <w:pPr>
        <w:pStyle w:val="ListParagraph"/>
        <w:numPr>
          <w:ilvl w:val="1"/>
          <w:numId w:val="1"/>
        </w:numPr>
        <w:tabs>
          <w:tab w:val="left" w:pos="1539"/>
          <w:tab w:val="left" w:pos="1540"/>
        </w:tabs>
        <w:ind w:right="235"/>
        <w:rPr>
          <w:sz w:val="24"/>
        </w:rPr>
      </w:pPr>
      <w:r>
        <w:rPr>
          <w:sz w:val="24"/>
        </w:rPr>
        <w:t>Discuss with management and legal counsel the status of pending litigation, taxation matters, compliance policies and other areas that may materially</w:t>
      </w:r>
      <w:r>
        <w:rPr>
          <w:spacing w:val="-42"/>
          <w:sz w:val="24"/>
        </w:rPr>
        <w:t xml:space="preserve"> </w:t>
      </w:r>
      <w:r>
        <w:rPr>
          <w:sz w:val="24"/>
        </w:rPr>
        <w:t>impact the Company’s financial statements or accounting</w:t>
      </w:r>
      <w:r>
        <w:rPr>
          <w:spacing w:val="-27"/>
          <w:sz w:val="24"/>
        </w:rPr>
        <w:t xml:space="preserve"> </w:t>
      </w:r>
      <w:r>
        <w:rPr>
          <w:sz w:val="24"/>
        </w:rPr>
        <w:t>policies.</w:t>
      </w:r>
    </w:p>
    <w:p w:rsidR="00151948" w:rsidRDefault="00151948">
      <w:pPr>
        <w:pStyle w:val="BodyText"/>
        <w:rPr>
          <w:sz w:val="21"/>
        </w:rPr>
      </w:pPr>
    </w:p>
    <w:p w:rsidR="00151948" w:rsidRDefault="005A3F81">
      <w:pPr>
        <w:pStyle w:val="ListParagraph"/>
        <w:numPr>
          <w:ilvl w:val="1"/>
          <w:numId w:val="1"/>
        </w:numPr>
        <w:tabs>
          <w:tab w:val="left" w:pos="1539"/>
          <w:tab w:val="left" w:pos="1540"/>
        </w:tabs>
        <w:ind w:right="360"/>
        <w:rPr>
          <w:sz w:val="24"/>
        </w:rPr>
      </w:pPr>
      <w:r>
        <w:rPr>
          <w:sz w:val="24"/>
        </w:rPr>
        <w:t>Review with management and the independent auditors the effect of regulatory and accounting initiatives, as well as any off-balance sheet structures, on the Company’s financial</w:t>
      </w:r>
      <w:r>
        <w:rPr>
          <w:spacing w:val="-15"/>
          <w:sz w:val="24"/>
        </w:rPr>
        <w:t xml:space="preserve"> </w:t>
      </w:r>
      <w:r>
        <w:rPr>
          <w:sz w:val="24"/>
        </w:rPr>
        <w:t>statements.</w:t>
      </w:r>
    </w:p>
    <w:p w:rsidR="00151948" w:rsidRDefault="00151948">
      <w:pPr>
        <w:pStyle w:val="BodyText"/>
        <w:spacing w:before="6"/>
        <w:rPr>
          <w:sz w:val="20"/>
        </w:rPr>
      </w:pPr>
    </w:p>
    <w:p w:rsidR="00151948" w:rsidRDefault="005A3F81">
      <w:pPr>
        <w:pStyle w:val="ListParagraph"/>
        <w:numPr>
          <w:ilvl w:val="0"/>
          <w:numId w:val="1"/>
        </w:numPr>
        <w:tabs>
          <w:tab w:val="left" w:pos="819"/>
          <w:tab w:val="left" w:pos="820"/>
        </w:tabs>
        <w:spacing w:before="1"/>
        <w:rPr>
          <w:sz w:val="24"/>
        </w:rPr>
      </w:pPr>
      <w:r>
        <w:rPr>
          <w:sz w:val="24"/>
          <w:u w:val="single"/>
        </w:rPr>
        <w:t>Review of Documents and</w:t>
      </w:r>
      <w:r>
        <w:rPr>
          <w:spacing w:val="-10"/>
          <w:sz w:val="24"/>
          <w:u w:val="single"/>
        </w:rPr>
        <w:t xml:space="preserve"> </w:t>
      </w:r>
      <w:r>
        <w:rPr>
          <w:sz w:val="24"/>
          <w:u w:val="single"/>
        </w:rPr>
        <w:t>Reports</w:t>
      </w:r>
    </w:p>
    <w:p w:rsidR="00151948" w:rsidRDefault="00151948">
      <w:pPr>
        <w:pStyle w:val="BodyText"/>
        <w:spacing w:before="1"/>
        <w:rPr>
          <w:sz w:val="21"/>
        </w:rPr>
      </w:pPr>
    </w:p>
    <w:p w:rsidR="00151948" w:rsidRDefault="005A3F81">
      <w:pPr>
        <w:pStyle w:val="ListParagraph"/>
        <w:numPr>
          <w:ilvl w:val="1"/>
          <w:numId w:val="1"/>
        </w:numPr>
        <w:tabs>
          <w:tab w:val="left" w:pos="1539"/>
          <w:tab w:val="left" w:pos="1540"/>
        </w:tabs>
        <w:ind w:right="107"/>
        <w:rPr>
          <w:sz w:val="24"/>
        </w:rPr>
      </w:pPr>
      <w:r>
        <w:rPr>
          <w:sz w:val="24"/>
        </w:rPr>
        <w:t xml:space="preserve">Review and discuss with management and the independent auditors the Company’s annual audited financial statements and quarterly financial statements (including disclosures under the section entitled </w:t>
      </w:r>
      <w:r>
        <w:rPr>
          <w:i/>
          <w:sz w:val="24"/>
        </w:rPr>
        <w:t xml:space="preserve">Management’s Discussion and Analysis of Financial Condition and Results of Operations </w:t>
      </w:r>
      <w:r>
        <w:rPr>
          <w:sz w:val="24"/>
        </w:rPr>
        <w:t>and any report by the independent auditors related to the financial statements. Based on the review,</w:t>
      </w:r>
      <w:r>
        <w:rPr>
          <w:spacing w:val="-36"/>
          <w:sz w:val="24"/>
        </w:rPr>
        <w:t xml:space="preserve"> </w:t>
      </w:r>
      <w:r>
        <w:rPr>
          <w:sz w:val="24"/>
        </w:rPr>
        <w:t>the</w:t>
      </w:r>
    </w:p>
    <w:p w:rsidR="00151948" w:rsidRDefault="00151948">
      <w:pPr>
        <w:rPr>
          <w:sz w:val="24"/>
        </w:rPr>
        <w:sectPr w:rsidR="00151948">
          <w:footerReference w:type="default" r:id="rId8"/>
          <w:pgSz w:w="12240" w:h="15840"/>
          <w:pgMar w:top="1360" w:right="1400" w:bottom="980" w:left="1340" w:header="0" w:footer="787" w:gutter="0"/>
          <w:pgNumType w:start="2"/>
          <w:cols w:space="720"/>
        </w:sectPr>
      </w:pPr>
    </w:p>
    <w:p w:rsidR="00151948" w:rsidRDefault="005A3F81">
      <w:pPr>
        <w:pStyle w:val="BodyText"/>
        <w:spacing w:before="76"/>
        <w:ind w:left="1540" w:right="221"/>
      </w:pPr>
      <w:r>
        <w:lastRenderedPageBreak/>
        <w:t>Committee shall make its recommendation to the Board as to the inclusion of the Company’s audited consolidated financial statements in the Company’s annual report on Form 10-K.</w:t>
      </w:r>
    </w:p>
    <w:p w:rsidR="00151948" w:rsidRDefault="00151948">
      <w:pPr>
        <w:pStyle w:val="BodyText"/>
        <w:spacing w:before="6"/>
        <w:rPr>
          <w:sz w:val="20"/>
        </w:rPr>
      </w:pPr>
    </w:p>
    <w:p w:rsidR="00151948" w:rsidRDefault="005A3F81">
      <w:pPr>
        <w:pStyle w:val="ListParagraph"/>
        <w:numPr>
          <w:ilvl w:val="1"/>
          <w:numId w:val="1"/>
        </w:numPr>
        <w:tabs>
          <w:tab w:val="left" w:pos="1539"/>
          <w:tab w:val="left" w:pos="1540"/>
        </w:tabs>
        <w:spacing w:before="1" w:line="242" w:lineRule="auto"/>
        <w:ind w:right="114"/>
        <w:rPr>
          <w:sz w:val="24"/>
        </w:rPr>
      </w:pPr>
      <w:r>
        <w:rPr>
          <w:sz w:val="24"/>
        </w:rPr>
        <w:t>Review and discuss earnings press releases with management and the</w:t>
      </w:r>
      <w:r>
        <w:rPr>
          <w:spacing w:val="-29"/>
          <w:sz w:val="24"/>
        </w:rPr>
        <w:t xml:space="preserve"> </w:t>
      </w:r>
      <w:r>
        <w:rPr>
          <w:sz w:val="24"/>
        </w:rPr>
        <w:t>independent auditors.</w:t>
      </w:r>
    </w:p>
    <w:p w:rsidR="00151948" w:rsidRDefault="00151948">
      <w:pPr>
        <w:pStyle w:val="BodyText"/>
        <w:spacing w:before="5"/>
        <w:rPr>
          <w:sz w:val="20"/>
        </w:rPr>
      </w:pPr>
    </w:p>
    <w:p w:rsidR="00151948" w:rsidRDefault="005A3F81">
      <w:pPr>
        <w:pStyle w:val="ListParagraph"/>
        <w:numPr>
          <w:ilvl w:val="1"/>
          <w:numId w:val="1"/>
        </w:numPr>
        <w:tabs>
          <w:tab w:val="left" w:pos="1539"/>
          <w:tab w:val="left" w:pos="1540"/>
        </w:tabs>
        <w:spacing w:line="242" w:lineRule="auto"/>
        <w:ind w:right="794"/>
        <w:rPr>
          <w:sz w:val="24"/>
        </w:rPr>
      </w:pPr>
      <w:r>
        <w:rPr>
          <w:sz w:val="24"/>
        </w:rPr>
        <w:t>Oversee the preparation of the report required by the rules of the SEC to</w:t>
      </w:r>
      <w:r>
        <w:rPr>
          <w:spacing w:val="-25"/>
          <w:sz w:val="24"/>
        </w:rPr>
        <w:t xml:space="preserve"> </w:t>
      </w:r>
      <w:r>
        <w:rPr>
          <w:sz w:val="24"/>
        </w:rPr>
        <w:t>be included in the Company’s annual proxy</w:t>
      </w:r>
      <w:r>
        <w:rPr>
          <w:spacing w:val="-19"/>
          <w:sz w:val="24"/>
        </w:rPr>
        <w:t xml:space="preserve"> </w:t>
      </w:r>
      <w:r>
        <w:rPr>
          <w:sz w:val="24"/>
        </w:rPr>
        <w:t>statement.</w:t>
      </w:r>
    </w:p>
    <w:p w:rsidR="00151948" w:rsidRDefault="00151948">
      <w:pPr>
        <w:pStyle w:val="BodyText"/>
        <w:spacing w:before="4"/>
        <w:rPr>
          <w:sz w:val="20"/>
        </w:rPr>
      </w:pPr>
    </w:p>
    <w:p w:rsidR="00151948" w:rsidRDefault="005A3F81">
      <w:pPr>
        <w:pStyle w:val="ListParagraph"/>
        <w:numPr>
          <w:ilvl w:val="0"/>
          <w:numId w:val="1"/>
        </w:numPr>
        <w:tabs>
          <w:tab w:val="left" w:pos="819"/>
          <w:tab w:val="left" w:pos="820"/>
        </w:tabs>
        <w:spacing w:before="1"/>
        <w:rPr>
          <w:sz w:val="24"/>
        </w:rPr>
      </w:pPr>
      <w:r>
        <w:rPr>
          <w:sz w:val="24"/>
          <w:u w:val="single"/>
        </w:rPr>
        <w:t>Independent Auditors</w:t>
      </w:r>
      <w:r>
        <w:rPr>
          <w:spacing w:val="-10"/>
          <w:sz w:val="24"/>
          <w:u w:val="single"/>
        </w:rPr>
        <w:t xml:space="preserve"> </w:t>
      </w:r>
      <w:r>
        <w:rPr>
          <w:sz w:val="24"/>
          <w:u w:val="single"/>
        </w:rPr>
        <w:t>Matters</w:t>
      </w:r>
    </w:p>
    <w:p w:rsidR="00151948" w:rsidRDefault="00151948">
      <w:pPr>
        <w:pStyle w:val="BodyText"/>
        <w:spacing w:before="1"/>
        <w:rPr>
          <w:sz w:val="21"/>
        </w:rPr>
      </w:pPr>
    </w:p>
    <w:p w:rsidR="00151948" w:rsidRDefault="005A3F81">
      <w:pPr>
        <w:pStyle w:val="ListParagraph"/>
        <w:numPr>
          <w:ilvl w:val="1"/>
          <w:numId w:val="1"/>
        </w:numPr>
        <w:tabs>
          <w:tab w:val="left" w:pos="1539"/>
          <w:tab w:val="left" w:pos="1540"/>
        </w:tabs>
        <w:ind w:right="248"/>
        <w:rPr>
          <w:sz w:val="24"/>
        </w:rPr>
      </w:pPr>
      <w:r>
        <w:rPr>
          <w:sz w:val="24"/>
        </w:rPr>
        <w:t>Be directly responsible for the appointment, compensation, retention and oversight of the work of the independent auditors. In this regard, the Committee shall appoint and retain, and submit for ratification by the Company’s stockholders, compensate, and evaluate the independent auditors and terminate the independent auditors when circumstances warrant. The independent auditors shall report directly to the</w:t>
      </w:r>
      <w:r>
        <w:rPr>
          <w:spacing w:val="-20"/>
          <w:sz w:val="24"/>
        </w:rPr>
        <w:t xml:space="preserve"> </w:t>
      </w:r>
      <w:r>
        <w:rPr>
          <w:sz w:val="24"/>
        </w:rPr>
        <w:t>Committee.</w:t>
      </w:r>
    </w:p>
    <w:p w:rsidR="00151948" w:rsidRDefault="00151948">
      <w:pPr>
        <w:pStyle w:val="BodyText"/>
        <w:rPr>
          <w:sz w:val="21"/>
        </w:rPr>
      </w:pPr>
    </w:p>
    <w:p w:rsidR="00151948" w:rsidRDefault="005A3F81">
      <w:pPr>
        <w:pStyle w:val="ListParagraph"/>
        <w:numPr>
          <w:ilvl w:val="1"/>
          <w:numId w:val="1"/>
        </w:numPr>
        <w:tabs>
          <w:tab w:val="left" w:pos="1539"/>
          <w:tab w:val="left" w:pos="1540"/>
        </w:tabs>
        <w:spacing w:before="1"/>
        <w:ind w:right="154"/>
        <w:rPr>
          <w:sz w:val="24"/>
        </w:rPr>
      </w:pPr>
      <w:r>
        <w:rPr>
          <w:sz w:val="24"/>
        </w:rPr>
        <w:t>Evaluate, on an annual basis, the independent auditors’ qualifications, performance and independence, including the experience and qualifications of the senior members of the audit team. In doing its evaluation, the Committee shall consider all professional services rendered by the independent auditors and its affiliates.  Consistent with the rules of the PCAOB, the Committee shall obtain and review a report by the independent auditors describing any relationships between the independent auditors, and the Company or individuals in financial reporting oversight roles at the Company, that may reasonably be thought to bear on the independent auditors’ independence and discuss with the independent auditors the potential effects of any such relationships on</w:t>
      </w:r>
      <w:r>
        <w:rPr>
          <w:spacing w:val="-29"/>
          <w:sz w:val="24"/>
        </w:rPr>
        <w:t xml:space="preserve"> </w:t>
      </w:r>
      <w:r>
        <w:rPr>
          <w:sz w:val="24"/>
        </w:rPr>
        <w:t>independence.</w:t>
      </w:r>
    </w:p>
    <w:p w:rsidR="00151948" w:rsidRDefault="00151948">
      <w:pPr>
        <w:pStyle w:val="BodyText"/>
        <w:spacing w:before="1"/>
        <w:rPr>
          <w:sz w:val="21"/>
        </w:rPr>
      </w:pPr>
    </w:p>
    <w:p w:rsidR="00151948" w:rsidRDefault="005A3F81">
      <w:pPr>
        <w:pStyle w:val="ListParagraph"/>
        <w:numPr>
          <w:ilvl w:val="1"/>
          <w:numId w:val="1"/>
        </w:numPr>
        <w:tabs>
          <w:tab w:val="left" w:pos="1539"/>
          <w:tab w:val="left" w:pos="1540"/>
        </w:tabs>
        <w:ind w:right="293"/>
        <w:rPr>
          <w:sz w:val="24"/>
        </w:rPr>
      </w:pPr>
      <w:r>
        <w:rPr>
          <w:sz w:val="24"/>
        </w:rPr>
        <w:t>Approve, in advance, all audit and permissible non-audit services to be provided by the independent auditors, and establish policies and procedures for the preapproval of audit and permissible non-audit services to be provided by the independent</w:t>
      </w:r>
      <w:r>
        <w:rPr>
          <w:spacing w:val="-7"/>
          <w:sz w:val="24"/>
        </w:rPr>
        <w:t xml:space="preserve"> </w:t>
      </w:r>
      <w:r>
        <w:rPr>
          <w:sz w:val="24"/>
        </w:rPr>
        <w:t>auditors.</w:t>
      </w:r>
    </w:p>
    <w:p w:rsidR="00151948" w:rsidRDefault="00151948">
      <w:pPr>
        <w:pStyle w:val="BodyText"/>
        <w:rPr>
          <w:sz w:val="21"/>
        </w:rPr>
      </w:pPr>
    </w:p>
    <w:p w:rsidR="00151948" w:rsidRDefault="005A3F81">
      <w:pPr>
        <w:pStyle w:val="ListParagraph"/>
        <w:numPr>
          <w:ilvl w:val="1"/>
          <w:numId w:val="1"/>
        </w:numPr>
        <w:tabs>
          <w:tab w:val="left" w:pos="1539"/>
          <w:tab w:val="left" w:pos="1540"/>
        </w:tabs>
        <w:spacing w:before="1"/>
        <w:ind w:right="454"/>
        <w:rPr>
          <w:sz w:val="24"/>
        </w:rPr>
      </w:pPr>
      <w:r>
        <w:rPr>
          <w:sz w:val="24"/>
        </w:rPr>
        <w:t>The Committee shall oversee the regular rotation of the lead audit partner and audit review partner as required by law and consider whether there should be a periodic rotation of the Company’s independent</w:t>
      </w:r>
      <w:r>
        <w:rPr>
          <w:spacing w:val="-20"/>
          <w:sz w:val="24"/>
        </w:rPr>
        <w:t xml:space="preserve"> </w:t>
      </w:r>
      <w:r>
        <w:rPr>
          <w:sz w:val="24"/>
        </w:rPr>
        <w:t>auditors.</w:t>
      </w:r>
    </w:p>
    <w:p w:rsidR="00151948" w:rsidRDefault="00151948">
      <w:pPr>
        <w:pStyle w:val="BodyText"/>
        <w:spacing w:before="7"/>
        <w:rPr>
          <w:sz w:val="20"/>
        </w:rPr>
      </w:pPr>
    </w:p>
    <w:p w:rsidR="00151948" w:rsidRDefault="005A3F81">
      <w:pPr>
        <w:pStyle w:val="ListParagraph"/>
        <w:numPr>
          <w:ilvl w:val="1"/>
          <w:numId w:val="1"/>
        </w:numPr>
        <w:tabs>
          <w:tab w:val="left" w:pos="1539"/>
          <w:tab w:val="left" w:pos="1540"/>
        </w:tabs>
        <w:spacing w:line="242" w:lineRule="auto"/>
        <w:ind w:right="194"/>
        <w:rPr>
          <w:sz w:val="24"/>
        </w:rPr>
      </w:pPr>
      <w:r>
        <w:rPr>
          <w:sz w:val="24"/>
        </w:rPr>
        <w:t>As appropriate, review and approve the hiring of employees or former employees of the independent</w:t>
      </w:r>
      <w:r>
        <w:rPr>
          <w:spacing w:val="-10"/>
          <w:sz w:val="24"/>
        </w:rPr>
        <w:t xml:space="preserve"> </w:t>
      </w:r>
      <w:r>
        <w:rPr>
          <w:sz w:val="24"/>
        </w:rPr>
        <w:t>auditors.</w:t>
      </w:r>
    </w:p>
    <w:p w:rsidR="00151948" w:rsidRDefault="00151948">
      <w:pPr>
        <w:pStyle w:val="BodyText"/>
        <w:spacing w:before="4"/>
        <w:rPr>
          <w:sz w:val="20"/>
        </w:rPr>
      </w:pPr>
    </w:p>
    <w:p w:rsidR="00151948" w:rsidRDefault="005A3F81">
      <w:pPr>
        <w:pStyle w:val="ListParagraph"/>
        <w:numPr>
          <w:ilvl w:val="0"/>
          <w:numId w:val="1"/>
        </w:numPr>
        <w:tabs>
          <w:tab w:val="left" w:pos="819"/>
          <w:tab w:val="left" w:pos="820"/>
        </w:tabs>
        <w:rPr>
          <w:sz w:val="24"/>
        </w:rPr>
      </w:pPr>
      <w:r>
        <w:rPr>
          <w:sz w:val="24"/>
          <w:u w:val="single"/>
        </w:rPr>
        <w:t>Internal Controls and Disclosure</w:t>
      </w:r>
      <w:r>
        <w:rPr>
          <w:spacing w:val="-13"/>
          <w:sz w:val="24"/>
          <w:u w:val="single"/>
        </w:rPr>
        <w:t xml:space="preserve"> </w:t>
      </w:r>
      <w:r>
        <w:rPr>
          <w:sz w:val="24"/>
          <w:u w:val="single"/>
        </w:rPr>
        <w:t>Controls</w:t>
      </w:r>
    </w:p>
    <w:p w:rsidR="00151948" w:rsidRDefault="00151948">
      <w:pPr>
        <w:pStyle w:val="BodyText"/>
        <w:rPr>
          <w:sz w:val="21"/>
        </w:rPr>
      </w:pPr>
    </w:p>
    <w:p w:rsidR="00151948" w:rsidRDefault="005A3F81">
      <w:pPr>
        <w:pStyle w:val="ListParagraph"/>
        <w:numPr>
          <w:ilvl w:val="1"/>
          <w:numId w:val="1"/>
        </w:numPr>
        <w:tabs>
          <w:tab w:val="left" w:pos="1539"/>
          <w:tab w:val="left" w:pos="1540"/>
        </w:tabs>
        <w:ind w:right="514"/>
        <w:rPr>
          <w:sz w:val="24"/>
        </w:rPr>
      </w:pPr>
      <w:r>
        <w:rPr>
          <w:sz w:val="24"/>
        </w:rPr>
        <w:t>Review and discuss the adequacy and effectiveness of the Company’s</w:t>
      </w:r>
      <w:r>
        <w:rPr>
          <w:spacing w:val="-27"/>
          <w:sz w:val="24"/>
        </w:rPr>
        <w:t xml:space="preserve"> </w:t>
      </w:r>
      <w:r>
        <w:rPr>
          <w:sz w:val="24"/>
        </w:rPr>
        <w:t>internal controls, including periodically receiving reports from the Company’s independent auditors and Chief Executive Officer and Chief Financial Officer regarding the Company’s system of internal</w:t>
      </w:r>
      <w:r>
        <w:rPr>
          <w:spacing w:val="-18"/>
          <w:sz w:val="24"/>
        </w:rPr>
        <w:t xml:space="preserve"> </w:t>
      </w:r>
      <w:r>
        <w:rPr>
          <w:sz w:val="24"/>
        </w:rPr>
        <w:t>controls.</w:t>
      </w:r>
    </w:p>
    <w:p w:rsidR="00151948" w:rsidRDefault="00151948">
      <w:pPr>
        <w:rPr>
          <w:sz w:val="24"/>
        </w:rPr>
        <w:sectPr w:rsidR="00151948">
          <w:pgSz w:w="12240" w:h="15840"/>
          <w:pgMar w:top="1360" w:right="1340" w:bottom="980" w:left="1340" w:header="0" w:footer="787" w:gutter="0"/>
          <w:cols w:space="720"/>
        </w:sectPr>
      </w:pPr>
    </w:p>
    <w:p w:rsidR="00151948" w:rsidRDefault="005A3F81">
      <w:pPr>
        <w:pStyle w:val="ListParagraph"/>
        <w:numPr>
          <w:ilvl w:val="1"/>
          <w:numId w:val="1"/>
        </w:numPr>
        <w:tabs>
          <w:tab w:val="left" w:pos="1539"/>
          <w:tab w:val="left" w:pos="1540"/>
        </w:tabs>
        <w:spacing w:before="76"/>
        <w:ind w:right="273"/>
        <w:rPr>
          <w:sz w:val="24"/>
        </w:rPr>
      </w:pPr>
      <w:r>
        <w:rPr>
          <w:sz w:val="24"/>
        </w:rPr>
        <w:t>Review and discuss the adequacy and effectiveness of the Company’s disclosure controls and procedures, including periodically receiving reports from management regarding the Company’s disclosure controls and</w:t>
      </w:r>
      <w:r>
        <w:rPr>
          <w:spacing w:val="-25"/>
          <w:sz w:val="24"/>
        </w:rPr>
        <w:t xml:space="preserve"> </w:t>
      </w:r>
      <w:r>
        <w:rPr>
          <w:sz w:val="24"/>
        </w:rPr>
        <w:t>procedures.</w:t>
      </w:r>
    </w:p>
    <w:p w:rsidR="00151948" w:rsidRDefault="00151948">
      <w:pPr>
        <w:pStyle w:val="BodyText"/>
        <w:spacing w:before="6"/>
        <w:rPr>
          <w:sz w:val="20"/>
        </w:rPr>
      </w:pPr>
    </w:p>
    <w:p w:rsidR="00151948" w:rsidRDefault="005A3F81">
      <w:pPr>
        <w:pStyle w:val="ListParagraph"/>
        <w:numPr>
          <w:ilvl w:val="1"/>
          <w:numId w:val="1"/>
        </w:numPr>
        <w:tabs>
          <w:tab w:val="left" w:pos="1539"/>
          <w:tab w:val="left" w:pos="1540"/>
        </w:tabs>
        <w:spacing w:before="1"/>
        <w:ind w:right="388"/>
        <w:rPr>
          <w:sz w:val="24"/>
        </w:rPr>
      </w:pPr>
      <w:r>
        <w:rPr>
          <w:sz w:val="24"/>
        </w:rPr>
        <w:t>Establish and oversee procedures for the receipt, retention and treatment of complaints received by the Company regarding accounting, internal</w:t>
      </w:r>
      <w:r>
        <w:rPr>
          <w:spacing w:val="-31"/>
          <w:sz w:val="24"/>
        </w:rPr>
        <w:t xml:space="preserve"> </w:t>
      </w:r>
      <w:r>
        <w:rPr>
          <w:sz w:val="24"/>
        </w:rPr>
        <w:t>accounting controls or auditing matters, and confidential, anonymous submission by employees of concerns regarding questionable accounting or auditing</w:t>
      </w:r>
      <w:r>
        <w:rPr>
          <w:spacing w:val="-30"/>
          <w:sz w:val="24"/>
        </w:rPr>
        <w:t xml:space="preserve"> </w:t>
      </w:r>
      <w:r>
        <w:rPr>
          <w:sz w:val="24"/>
        </w:rPr>
        <w:t>matters.</w:t>
      </w:r>
    </w:p>
    <w:p w:rsidR="00151948" w:rsidRDefault="00151948">
      <w:pPr>
        <w:pStyle w:val="BodyText"/>
        <w:spacing w:before="7"/>
        <w:rPr>
          <w:sz w:val="20"/>
        </w:rPr>
      </w:pPr>
    </w:p>
    <w:p w:rsidR="00151948" w:rsidRPr="001E1CC9" w:rsidRDefault="005A3F81">
      <w:pPr>
        <w:pStyle w:val="ListParagraph"/>
        <w:numPr>
          <w:ilvl w:val="0"/>
          <w:numId w:val="1"/>
        </w:numPr>
        <w:tabs>
          <w:tab w:val="left" w:pos="819"/>
          <w:tab w:val="left" w:pos="820"/>
        </w:tabs>
        <w:rPr>
          <w:sz w:val="24"/>
          <w:u w:val="single"/>
        </w:rPr>
      </w:pPr>
      <w:r w:rsidRPr="001E1CC9">
        <w:rPr>
          <w:sz w:val="24"/>
          <w:u w:val="single"/>
        </w:rPr>
        <w:t>Internal</w:t>
      </w:r>
      <w:r w:rsidRPr="001E1CC9">
        <w:rPr>
          <w:spacing w:val="-5"/>
          <w:sz w:val="24"/>
          <w:u w:val="single"/>
        </w:rPr>
        <w:t xml:space="preserve"> </w:t>
      </w:r>
      <w:r w:rsidRPr="001E1CC9">
        <w:rPr>
          <w:sz w:val="24"/>
          <w:u w:val="single"/>
        </w:rPr>
        <w:t>Audit</w:t>
      </w:r>
    </w:p>
    <w:p w:rsidR="00151948" w:rsidRDefault="00151948">
      <w:pPr>
        <w:pStyle w:val="BodyText"/>
        <w:spacing w:before="2"/>
        <w:rPr>
          <w:sz w:val="21"/>
        </w:rPr>
      </w:pPr>
    </w:p>
    <w:p w:rsidR="00151948" w:rsidRDefault="005A3F81">
      <w:pPr>
        <w:pStyle w:val="ListParagraph"/>
        <w:numPr>
          <w:ilvl w:val="1"/>
          <w:numId w:val="1"/>
        </w:numPr>
        <w:tabs>
          <w:tab w:val="left" w:pos="1539"/>
          <w:tab w:val="left" w:pos="1540"/>
        </w:tabs>
        <w:spacing w:before="1" w:line="237" w:lineRule="auto"/>
        <w:ind w:right="193"/>
        <w:rPr>
          <w:sz w:val="24"/>
        </w:rPr>
      </w:pPr>
      <w:r>
        <w:rPr>
          <w:sz w:val="24"/>
        </w:rPr>
        <w:t>Review and discuss with the principal internal auditor of the Company the results of the internal</w:t>
      </w:r>
      <w:r>
        <w:rPr>
          <w:spacing w:val="-9"/>
          <w:sz w:val="24"/>
        </w:rPr>
        <w:t xml:space="preserve"> </w:t>
      </w:r>
      <w:r>
        <w:rPr>
          <w:sz w:val="24"/>
        </w:rPr>
        <w:t>audit.</w:t>
      </w:r>
    </w:p>
    <w:p w:rsidR="00151948" w:rsidRDefault="00151948">
      <w:pPr>
        <w:pStyle w:val="BodyText"/>
        <w:rPr>
          <w:sz w:val="21"/>
        </w:rPr>
      </w:pPr>
    </w:p>
    <w:p w:rsidR="00151948" w:rsidRDefault="005A3F81">
      <w:pPr>
        <w:pStyle w:val="ListParagraph"/>
        <w:numPr>
          <w:ilvl w:val="1"/>
          <w:numId w:val="1"/>
        </w:numPr>
        <w:tabs>
          <w:tab w:val="left" w:pos="1539"/>
          <w:tab w:val="left" w:pos="1540"/>
        </w:tabs>
        <w:spacing w:before="1"/>
        <w:ind w:right="114"/>
        <w:rPr>
          <w:sz w:val="24"/>
        </w:rPr>
      </w:pPr>
      <w:r>
        <w:rPr>
          <w:sz w:val="24"/>
        </w:rPr>
        <w:t>Annually review and discuss with the principal internal auditor of the Company the annual internal audit plan and the adequacy of internal audit resources, and the performance and effectiveness of the internal audit</w:t>
      </w:r>
      <w:r>
        <w:rPr>
          <w:spacing w:val="-26"/>
          <w:sz w:val="24"/>
        </w:rPr>
        <w:t xml:space="preserve"> </w:t>
      </w:r>
      <w:r>
        <w:rPr>
          <w:sz w:val="24"/>
        </w:rPr>
        <w:t>function.</w:t>
      </w:r>
    </w:p>
    <w:p w:rsidR="00151948" w:rsidRDefault="00151948">
      <w:pPr>
        <w:pStyle w:val="BodyText"/>
        <w:spacing w:before="7"/>
        <w:rPr>
          <w:sz w:val="20"/>
        </w:rPr>
      </w:pPr>
    </w:p>
    <w:p w:rsidR="00151948" w:rsidRDefault="005A3F81">
      <w:pPr>
        <w:pStyle w:val="ListParagraph"/>
        <w:numPr>
          <w:ilvl w:val="1"/>
          <w:numId w:val="1"/>
        </w:numPr>
        <w:tabs>
          <w:tab w:val="left" w:pos="1539"/>
          <w:tab w:val="left" w:pos="1540"/>
        </w:tabs>
        <w:spacing w:line="242" w:lineRule="auto"/>
        <w:ind w:right="300"/>
        <w:rPr>
          <w:sz w:val="24"/>
        </w:rPr>
      </w:pPr>
      <w:r>
        <w:rPr>
          <w:sz w:val="24"/>
        </w:rPr>
        <w:t>Review and concur in the appointment, and dismissal when appropriate, of the principal internal auditor, and the compensation of the principal internal</w:t>
      </w:r>
      <w:r>
        <w:rPr>
          <w:spacing w:val="-37"/>
          <w:sz w:val="24"/>
        </w:rPr>
        <w:t xml:space="preserve"> </w:t>
      </w:r>
      <w:r>
        <w:rPr>
          <w:sz w:val="24"/>
        </w:rPr>
        <w:t>auditor.</w:t>
      </w:r>
    </w:p>
    <w:p w:rsidR="00151948" w:rsidRDefault="00151948">
      <w:pPr>
        <w:pStyle w:val="BodyText"/>
        <w:spacing w:before="4"/>
        <w:rPr>
          <w:sz w:val="20"/>
        </w:rPr>
      </w:pPr>
    </w:p>
    <w:p w:rsidR="00151948" w:rsidRDefault="005A3F81">
      <w:pPr>
        <w:pStyle w:val="ListParagraph"/>
        <w:numPr>
          <w:ilvl w:val="0"/>
          <w:numId w:val="1"/>
        </w:numPr>
        <w:tabs>
          <w:tab w:val="left" w:pos="819"/>
          <w:tab w:val="left" w:pos="820"/>
        </w:tabs>
        <w:rPr>
          <w:sz w:val="24"/>
        </w:rPr>
      </w:pPr>
      <w:r>
        <w:rPr>
          <w:sz w:val="24"/>
          <w:u w:val="single"/>
        </w:rPr>
        <w:t>Other</w:t>
      </w:r>
      <w:r>
        <w:rPr>
          <w:spacing w:val="-10"/>
          <w:sz w:val="24"/>
          <w:u w:val="single"/>
        </w:rPr>
        <w:t xml:space="preserve"> </w:t>
      </w:r>
      <w:r>
        <w:rPr>
          <w:sz w:val="24"/>
          <w:u w:val="single"/>
        </w:rPr>
        <w:t>Responsibilities</w:t>
      </w:r>
    </w:p>
    <w:p w:rsidR="00151948" w:rsidRDefault="00151948">
      <w:pPr>
        <w:pStyle w:val="BodyText"/>
        <w:spacing w:before="3"/>
        <w:rPr>
          <w:sz w:val="21"/>
        </w:rPr>
      </w:pPr>
    </w:p>
    <w:p w:rsidR="00151948" w:rsidRDefault="005A3F81">
      <w:pPr>
        <w:pStyle w:val="ListParagraph"/>
        <w:numPr>
          <w:ilvl w:val="1"/>
          <w:numId w:val="1"/>
        </w:numPr>
        <w:tabs>
          <w:tab w:val="left" w:pos="1539"/>
          <w:tab w:val="left" w:pos="1540"/>
        </w:tabs>
        <w:spacing w:line="237" w:lineRule="auto"/>
        <w:ind w:right="354"/>
        <w:rPr>
          <w:sz w:val="24"/>
        </w:rPr>
      </w:pPr>
      <w:r>
        <w:rPr>
          <w:sz w:val="24"/>
        </w:rPr>
        <w:t>Review and approve “related person transactions” as such term is defined in the rules and regulations of the</w:t>
      </w:r>
      <w:r>
        <w:rPr>
          <w:spacing w:val="-11"/>
          <w:sz w:val="24"/>
        </w:rPr>
        <w:t xml:space="preserve"> </w:t>
      </w:r>
      <w:r>
        <w:rPr>
          <w:sz w:val="24"/>
        </w:rPr>
        <w:t>SEC.</w:t>
      </w:r>
    </w:p>
    <w:p w:rsidR="00151948" w:rsidRDefault="00151948">
      <w:pPr>
        <w:pStyle w:val="BodyText"/>
        <w:spacing w:before="3"/>
        <w:rPr>
          <w:sz w:val="21"/>
        </w:rPr>
      </w:pPr>
    </w:p>
    <w:p w:rsidR="00151948" w:rsidRDefault="005A3F81">
      <w:pPr>
        <w:pStyle w:val="ListParagraph"/>
        <w:numPr>
          <w:ilvl w:val="1"/>
          <w:numId w:val="1"/>
        </w:numPr>
        <w:tabs>
          <w:tab w:val="left" w:pos="1539"/>
          <w:tab w:val="left" w:pos="1540"/>
        </w:tabs>
        <w:spacing w:line="237" w:lineRule="auto"/>
        <w:ind w:right="266"/>
        <w:rPr>
          <w:sz w:val="24"/>
        </w:rPr>
      </w:pPr>
      <w:r>
        <w:rPr>
          <w:sz w:val="24"/>
        </w:rPr>
        <w:t>Review and discuss the Company’s practices with respect to risk assessment and risk</w:t>
      </w:r>
      <w:r>
        <w:rPr>
          <w:spacing w:val="-9"/>
          <w:sz w:val="24"/>
        </w:rPr>
        <w:t xml:space="preserve"> </w:t>
      </w:r>
      <w:r>
        <w:rPr>
          <w:sz w:val="24"/>
        </w:rPr>
        <w:t>management.</w:t>
      </w:r>
    </w:p>
    <w:p w:rsidR="00151948" w:rsidRDefault="00151948">
      <w:pPr>
        <w:pStyle w:val="BodyText"/>
        <w:rPr>
          <w:sz w:val="21"/>
        </w:rPr>
      </w:pPr>
    </w:p>
    <w:p w:rsidR="00151948" w:rsidRDefault="005A3F81">
      <w:pPr>
        <w:pStyle w:val="ListParagraph"/>
        <w:numPr>
          <w:ilvl w:val="1"/>
          <w:numId w:val="1"/>
        </w:numPr>
        <w:tabs>
          <w:tab w:val="left" w:pos="1539"/>
          <w:tab w:val="left" w:pos="1540"/>
        </w:tabs>
        <w:rPr>
          <w:sz w:val="24"/>
        </w:rPr>
      </w:pPr>
      <w:r>
        <w:rPr>
          <w:sz w:val="24"/>
        </w:rPr>
        <w:t>Annually evaluate the adequacy of the Committee’s</w:t>
      </w:r>
      <w:r>
        <w:rPr>
          <w:spacing w:val="-28"/>
          <w:sz w:val="24"/>
        </w:rPr>
        <w:t xml:space="preserve"> </w:t>
      </w:r>
      <w:r>
        <w:rPr>
          <w:sz w:val="24"/>
        </w:rPr>
        <w:t>charter.</w:t>
      </w:r>
    </w:p>
    <w:p w:rsidR="00151948" w:rsidRDefault="00151948">
      <w:pPr>
        <w:pStyle w:val="BodyText"/>
        <w:spacing w:before="7"/>
        <w:rPr>
          <w:sz w:val="20"/>
        </w:rPr>
      </w:pPr>
    </w:p>
    <w:p w:rsidR="00151948" w:rsidRDefault="005A3F81">
      <w:pPr>
        <w:pStyle w:val="ListParagraph"/>
        <w:numPr>
          <w:ilvl w:val="1"/>
          <w:numId w:val="1"/>
        </w:numPr>
        <w:tabs>
          <w:tab w:val="left" w:pos="1539"/>
          <w:tab w:val="left" w:pos="1540"/>
        </w:tabs>
        <w:ind w:right="106"/>
        <w:rPr>
          <w:sz w:val="24"/>
        </w:rPr>
      </w:pPr>
      <w:r>
        <w:rPr>
          <w:sz w:val="24"/>
        </w:rPr>
        <w:t>To the extent the Company plans to rely on “end-user exception” regulations established by the Commodity Futures Trading Commission, at least annually, review and approve on behalf of the Company and any applicable subsidiaries, the Company’s decision to enter into swaps that are exempt from exchange- execution and clearing under the end-user exception, and review and discuss with management applicable Company policies governing the Company’s use of swaps subject to the end-user</w:t>
      </w:r>
      <w:r>
        <w:rPr>
          <w:spacing w:val="-13"/>
          <w:sz w:val="24"/>
        </w:rPr>
        <w:t xml:space="preserve"> </w:t>
      </w:r>
      <w:r>
        <w:rPr>
          <w:sz w:val="24"/>
        </w:rPr>
        <w:t>exception.</w:t>
      </w:r>
    </w:p>
    <w:p w:rsidR="00151948" w:rsidRDefault="00151948">
      <w:pPr>
        <w:pStyle w:val="BodyText"/>
        <w:rPr>
          <w:sz w:val="21"/>
        </w:rPr>
      </w:pPr>
    </w:p>
    <w:p w:rsidR="00151948" w:rsidRDefault="005A3F81">
      <w:pPr>
        <w:pStyle w:val="Heading1"/>
        <w:numPr>
          <w:ilvl w:val="0"/>
          <w:numId w:val="2"/>
        </w:numPr>
        <w:tabs>
          <w:tab w:val="left" w:pos="819"/>
          <w:tab w:val="left" w:pos="820"/>
        </w:tabs>
        <w:spacing w:before="1"/>
      </w:pPr>
      <w:r>
        <w:t>ADVISORS TO THE</w:t>
      </w:r>
      <w:r>
        <w:rPr>
          <w:spacing w:val="-6"/>
        </w:rPr>
        <w:t xml:space="preserve"> </w:t>
      </w:r>
      <w:r>
        <w:t>COMMITTEE</w:t>
      </w:r>
    </w:p>
    <w:p w:rsidR="00151948" w:rsidRDefault="00151948">
      <w:pPr>
        <w:pStyle w:val="BodyText"/>
        <w:spacing w:before="7"/>
        <w:rPr>
          <w:b/>
          <w:sz w:val="20"/>
        </w:rPr>
      </w:pPr>
    </w:p>
    <w:p w:rsidR="00151948" w:rsidRDefault="005A3F81">
      <w:pPr>
        <w:pStyle w:val="BodyText"/>
        <w:ind w:left="100" w:right="221" w:firstLine="720"/>
      </w:pPr>
      <w:r>
        <w:t>The Committee may retain, at the Company’s expense, legal, accounting or other advisors, as it deems necessary to carry out its duties, and shall receive appropriate funding, as determined by the Committee, from the Company for payment of compensation to any such advisors and for the payment of ordinary administrative expenses that are necessary or appropriate in carrying out the Committee’s duties. The Committee shall have sole authority to retain and terminate any such advisors, including the sole authority to negotiate and approve</w:t>
      </w:r>
    </w:p>
    <w:p w:rsidR="00151948" w:rsidRDefault="00151948">
      <w:pPr>
        <w:sectPr w:rsidR="00151948">
          <w:pgSz w:w="12240" w:h="15840"/>
          <w:pgMar w:top="1360" w:right="1340" w:bottom="980" w:left="1340" w:header="0" w:footer="787" w:gutter="0"/>
          <w:cols w:space="720"/>
        </w:sectPr>
      </w:pPr>
    </w:p>
    <w:p w:rsidR="00151948" w:rsidRDefault="005A3F81">
      <w:pPr>
        <w:pStyle w:val="BodyText"/>
        <w:spacing w:before="79" w:line="237" w:lineRule="auto"/>
        <w:ind w:left="100"/>
      </w:pPr>
      <w:proofErr w:type="gramStart"/>
      <w:r>
        <w:t>reasonable</w:t>
      </w:r>
      <w:proofErr w:type="gramEnd"/>
      <w:r>
        <w:t xml:space="preserve"> fees and retention terms of such advisors. The Committee shall comply with the Company’s then-current level review of contracts and budget procedures.</w:t>
      </w:r>
    </w:p>
    <w:sectPr w:rsidR="00151948">
      <w:pgSz w:w="12240" w:h="15840"/>
      <w:pgMar w:top="1360" w:right="1720" w:bottom="980" w:left="1340" w:header="0"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81" w:rsidRDefault="005A3F81">
      <w:r>
        <w:separator/>
      </w:r>
    </w:p>
  </w:endnote>
  <w:endnote w:type="continuationSeparator" w:id="0">
    <w:p w:rsidR="005A3F81" w:rsidRDefault="005A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48" w:rsidRDefault="000E63D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9418955</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48" w:rsidRDefault="005A3F81">
                          <w:pPr>
                            <w:pStyle w:val="BodyText"/>
                            <w:spacing w:before="10"/>
                            <w:ind w:left="40"/>
                          </w:pPr>
                          <w:r>
                            <w:fldChar w:fldCharType="begin"/>
                          </w:r>
                          <w:r>
                            <w:instrText xml:space="preserve"> PAGE </w:instrText>
                          </w:r>
                          <w:r>
                            <w:fldChar w:fldCharType="separate"/>
                          </w:r>
                          <w:r w:rsidR="00E6167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1.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" filled="f" stroked="f">
              <v:textbox inset="0,0,0,0">
                <w:txbxContent>
                  <w:p w:rsidR="00151948" w:rsidRDefault="005A3F81">
                    <w:pPr>
                      <w:pStyle w:val="BodyText"/>
                      <w:spacing w:before="10"/>
                      <w:ind w:left="40"/>
                    </w:pPr>
                    <w:r>
                      <w:fldChar w:fldCharType="begin"/>
                    </w:r>
                    <w:r>
                      <w:instrText xml:space="preserve"> PAGE </w:instrText>
                    </w:r>
                    <w:r>
                      <w:fldChar w:fldCharType="separate"/>
                    </w:r>
                    <w:r w:rsidR="00E6167E">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81" w:rsidRDefault="005A3F81">
      <w:r>
        <w:separator/>
      </w:r>
    </w:p>
  </w:footnote>
  <w:footnote w:type="continuationSeparator" w:id="0">
    <w:p w:rsidR="005A3F81" w:rsidRDefault="005A3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5C3"/>
    <w:multiLevelType w:val="hybridMultilevel"/>
    <w:tmpl w:val="15B0716A"/>
    <w:lvl w:ilvl="0" w:tplc="655AC6E6">
      <w:start w:val="1"/>
      <w:numFmt w:val="upperLetter"/>
      <w:lvlText w:val="%1."/>
      <w:lvlJc w:val="left"/>
      <w:pPr>
        <w:ind w:left="820" w:hanging="720"/>
      </w:pPr>
      <w:rPr>
        <w:rFonts w:ascii="Times New Roman" w:eastAsia="Times New Roman" w:hAnsi="Times New Roman" w:cs="Times New Roman" w:hint="default"/>
        <w:color w:val="010000"/>
        <w:spacing w:val="-1"/>
        <w:w w:val="100"/>
        <w:sz w:val="24"/>
        <w:szCs w:val="24"/>
      </w:rPr>
    </w:lvl>
    <w:lvl w:ilvl="1" w:tplc="04324F70">
      <w:start w:val="1"/>
      <w:numFmt w:val="decimal"/>
      <w:lvlText w:val="%2."/>
      <w:lvlJc w:val="left"/>
      <w:pPr>
        <w:ind w:left="1540" w:hanging="720"/>
      </w:pPr>
      <w:rPr>
        <w:rFonts w:ascii="Times New Roman" w:eastAsia="Times New Roman" w:hAnsi="Times New Roman" w:cs="Times New Roman" w:hint="default"/>
        <w:color w:val="010000"/>
        <w:spacing w:val="-1"/>
        <w:w w:val="100"/>
        <w:sz w:val="24"/>
        <w:szCs w:val="24"/>
      </w:rPr>
    </w:lvl>
    <w:lvl w:ilvl="2" w:tplc="C9D20E0C">
      <w:numFmt w:val="bullet"/>
      <w:lvlText w:val="•"/>
      <w:lvlJc w:val="left"/>
      <w:pPr>
        <w:ind w:left="2424" w:hanging="720"/>
      </w:pPr>
      <w:rPr>
        <w:rFonts w:hint="default"/>
      </w:rPr>
    </w:lvl>
    <w:lvl w:ilvl="3" w:tplc="355C97D4">
      <w:numFmt w:val="bullet"/>
      <w:lvlText w:val="•"/>
      <w:lvlJc w:val="left"/>
      <w:pPr>
        <w:ind w:left="3308" w:hanging="720"/>
      </w:pPr>
      <w:rPr>
        <w:rFonts w:hint="default"/>
      </w:rPr>
    </w:lvl>
    <w:lvl w:ilvl="4" w:tplc="1E668118">
      <w:numFmt w:val="bullet"/>
      <w:lvlText w:val="•"/>
      <w:lvlJc w:val="left"/>
      <w:pPr>
        <w:ind w:left="4193" w:hanging="720"/>
      </w:pPr>
      <w:rPr>
        <w:rFonts w:hint="default"/>
      </w:rPr>
    </w:lvl>
    <w:lvl w:ilvl="5" w:tplc="D7FA4188">
      <w:numFmt w:val="bullet"/>
      <w:lvlText w:val="•"/>
      <w:lvlJc w:val="left"/>
      <w:pPr>
        <w:ind w:left="5077" w:hanging="720"/>
      </w:pPr>
      <w:rPr>
        <w:rFonts w:hint="default"/>
      </w:rPr>
    </w:lvl>
    <w:lvl w:ilvl="6" w:tplc="720000E0">
      <w:numFmt w:val="bullet"/>
      <w:lvlText w:val="•"/>
      <w:lvlJc w:val="left"/>
      <w:pPr>
        <w:ind w:left="5962" w:hanging="720"/>
      </w:pPr>
      <w:rPr>
        <w:rFonts w:hint="default"/>
      </w:rPr>
    </w:lvl>
    <w:lvl w:ilvl="7" w:tplc="D132F6D0">
      <w:numFmt w:val="bullet"/>
      <w:lvlText w:val="•"/>
      <w:lvlJc w:val="left"/>
      <w:pPr>
        <w:ind w:left="6846" w:hanging="720"/>
      </w:pPr>
      <w:rPr>
        <w:rFonts w:hint="default"/>
      </w:rPr>
    </w:lvl>
    <w:lvl w:ilvl="8" w:tplc="236ADA58">
      <w:numFmt w:val="bullet"/>
      <w:lvlText w:val="•"/>
      <w:lvlJc w:val="left"/>
      <w:pPr>
        <w:ind w:left="7731" w:hanging="720"/>
      </w:pPr>
      <w:rPr>
        <w:rFonts w:hint="default"/>
      </w:rPr>
    </w:lvl>
  </w:abstractNum>
  <w:abstractNum w:abstractNumId="1">
    <w:nsid w:val="7B8616AF"/>
    <w:multiLevelType w:val="hybridMultilevel"/>
    <w:tmpl w:val="BBF4FE44"/>
    <w:lvl w:ilvl="0" w:tplc="32369070">
      <w:start w:val="1"/>
      <w:numFmt w:val="upperRoman"/>
      <w:lvlText w:val="%1."/>
      <w:lvlJc w:val="left"/>
      <w:pPr>
        <w:ind w:left="820" w:hanging="720"/>
      </w:pPr>
      <w:rPr>
        <w:rFonts w:ascii="Times New Roman" w:eastAsia="Times New Roman" w:hAnsi="Times New Roman" w:cs="Times New Roman" w:hint="default"/>
        <w:b/>
        <w:bCs/>
        <w:color w:val="010000"/>
        <w:spacing w:val="-1"/>
        <w:w w:val="100"/>
        <w:sz w:val="24"/>
        <w:szCs w:val="24"/>
      </w:rPr>
    </w:lvl>
    <w:lvl w:ilvl="1" w:tplc="ABB012EC">
      <w:numFmt w:val="bullet"/>
      <w:lvlText w:val="•"/>
      <w:lvlJc w:val="left"/>
      <w:pPr>
        <w:ind w:left="1696" w:hanging="720"/>
      </w:pPr>
      <w:rPr>
        <w:rFonts w:hint="default"/>
      </w:rPr>
    </w:lvl>
    <w:lvl w:ilvl="2" w:tplc="6F9402AE">
      <w:numFmt w:val="bullet"/>
      <w:lvlText w:val="•"/>
      <w:lvlJc w:val="left"/>
      <w:pPr>
        <w:ind w:left="2572" w:hanging="720"/>
      </w:pPr>
      <w:rPr>
        <w:rFonts w:hint="default"/>
      </w:rPr>
    </w:lvl>
    <w:lvl w:ilvl="3" w:tplc="4BAEE28C">
      <w:numFmt w:val="bullet"/>
      <w:lvlText w:val="•"/>
      <w:lvlJc w:val="left"/>
      <w:pPr>
        <w:ind w:left="3448" w:hanging="720"/>
      </w:pPr>
      <w:rPr>
        <w:rFonts w:hint="default"/>
      </w:rPr>
    </w:lvl>
    <w:lvl w:ilvl="4" w:tplc="C2E211B4">
      <w:numFmt w:val="bullet"/>
      <w:lvlText w:val="•"/>
      <w:lvlJc w:val="left"/>
      <w:pPr>
        <w:ind w:left="4324" w:hanging="720"/>
      </w:pPr>
      <w:rPr>
        <w:rFonts w:hint="default"/>
      </w:rPr>
    </w:lvl>
    <w:lvl w:ilvl="5" w:tplc="87C634D6">
      <w:numFmt w:val="bullet"/>
      <w:lvlText w:val="•"/>
      <w:lvlJc w:val="left"/>
      <w:pPr>
        <w:ind w:left="5200" w:hanging="720"/>
      </w:pPr>
      <w:rPr>
        <w:rFonts w:hint="default"/>
      </w:rPr>
    </w:lvl>
    <w:lvl w:ilvl="6" w:tplc="6DB4EF7C">
      <w:numFmt w:val="bullet"/>
      <w:lvlText w:val="•"/>
      <w:lvlJc w:val="left"/>
      <w:pPr>
        <w:ind w:left="6076" w:hanging="720"/>
      </w:pPr>
      <w:rPr>
        <w:rFonts w:hint="default"/>
      </w:rPr>
    </w:lvl>
    <w:lvl w:ilvl="7" w:tplc="FBBE6958">
      <w:numFmt w:val="bullet"/>
      <w:lvlText w:val="•"/>
      <w:lvlJc w:val="left"/>
      <w:pPr>
        <w:ind w:left="6952" w:hanging="720"/>
      </w:pPr>
      <w:rPr>
        <w:rFonts w:hint="default"/>
      </w:rPr>
    </w:lvl>
    <w:lvl w:ilvl="8" w:tplc="AC386D32">
      <w:numFmt w:val="bullet"/>
      <w:lvlText w:val="•"/>
      <w:lvlJc w:val="left"/>
      <w:pPr>
        <w:ind w:left="782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48"/>
    <w:rsid w:val="000E63DD"/>
    <w:rsid w:val="00151948"/>
    <w:rsid w:val="001E1CC9"/>
    <w:rsid w:val="005A3F81"/>
    <w:rsid w:val="0091331B"/>
    <w:rsid w:val="00C95814"/>
    <w:rsid w:val="00E6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Audit Comm Charter 2014.04.30</vt:lpstr>
    </vt:vector>
  </TitlesOfParts>
  <Company>Hewlett-Packard Company</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 Charter 2014.04.30</dc:title>
  <dc:creator>John Hess</dc:creator>
  <cp:lastModifiedBy>Evan Berger</cp:lastModifiedBy>
  <cp:revision>2</cp:revision>
  <cp:lastPrinted>2017-08-16T13:26:00Z</cp:lastPrinted>
  <dcterms:created xsi:type="dcterms:W3CDTF">2017-10-23T14:44:00Z</dcterms:created>
  <dcterms:modified xsi:type="dcterms:W3CDTF">2017-10-23T14:44:00Z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Word</vt:lpwstr>
  </property>
  <property fmtid="{D5CDD505-2E9C-101B-9397-08002B2CF9AE}" pid="4" name="LastSaved">
    <vt:filetime>2017-07-19T00:00:00Z</vt:filetime>
  </property>
</Properties>
</file>