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8D4E" w14:textId="77777777" w:rsidR="00FF6C13" w:rsidRPr="00FF6C13" w:rsidRDefault="00A42912" w:rsidP="00FF6C13">
      <w:pPr>
        <w:widowControl/>
        <w:rPr>
          <w:sz w:val="24"/>
          <w:szCs w:val="24"/>
        </w:rPr>
      </w:pPr>
      <w:r>
        <w:rPr>
          <w:sz w:val="24"/>
          <w:szCs w:val="24"/>
        </w:rPr>
        <w:t xml:space="preserve"> </w:t>
      </w:r>
    </w:p>
    <w:p w14:paraId="49CFEBDC" w14:textId="77777777" w:rsidR="00072E7A" w:rsidRDefault="00FF6C13" w:rsidP="00FF6C13">
      <w:pPr>
        <w:spacing w:before="5040"/>
        <w:ind w:left="1872"/>
      </w:pPr>
      <w:r w:rsidRPr="00FF6C13">
        <w:t xml:space="preserve">Interim Condensed </w:t>
      </w:r>
      <w:r w:rsidR="001A2907">
        <w:t>Financial Statements</w:t>
      </w:r>
    </w:p>
    <w:p w14:paraId="489840F2" w14:textId="77777777" w:rsidR="00072E7A" w:rsidRDefault="001A2907">
      <w:pPr>
        <w:ind w:left="1872"/>
      </w:pPr>
      <w:r>
        <w:t>(Expressed in Canadian Dollars)</w:t>
      </w:r>
    </w:p>
    <w:p w14:paraId="14005E95" w14:textId="77777777" w:rsidR="00072E7A" w:rsidRDefault="001A2907">
      <w:pPr>
        <w:spacing w:before="720"/>
        <w:ind w:left="1872"/>
        <w:rPr>
          <w:b/>
          <w:bCs/>
          <w:sz w:val="36"/>
          <w:szCs w:val="36"/>
        </w:rPr>
      </w:pPr>
      <w:r>
        <w:rPr>
          <w:b/>
          <w:bCs/>
          <w:sz w:val="36"/>
          <w:szCs w:val="36"/>
        </w:rPr>
        <w:t>KANE BIOTECH INC.</w:t>
      </w:r>
    </w:p>
    <w:p w14:paraId="6D39255C" w14:textId="77777777" w:rsidR="00FF6C13" w:rsidRDefault="00FF6C13">
      <w:pPr>
        <w:spacing w:before="720"/>
        <w:ind w:left="1872"/>
        <w:rPr>
          <w:b/>
          <w:bCs/>
          <w:sz w:val="36"/>
          <w:szCs w:val="36"/>
        </w:rPr>
      </w:pPr>
    </w:p>
    <w:p w14:paraId="445B3335" w14:textId="7E278491" w:rsidR="00062D92" w:rsidRDefault="008F61DC" w:rsidP="00FF6C13">
      <w:pPr>
        <w:ind w:left="1871"/>
      </w:pPr>
      <w:r>
        <w:t>Six</w:t>
      </w:r>
      <w:r w:rsidR="00FF6C13">
        <w:t xml:space="preserve"> months</w:t>
      </w:r>
      <w:r w:rsidR="001A2907">
        <w:t xml:space="preserve"> </w:t>
      </w:r>
      <w:r>
        <w:t>ended June 30</w:t>
      </w:r>
      <w:r w:rsidR="00802513">
        <w:t>, 201</w:t>
      </w:r>
      <w:r w:rsidR="00A80889">
        <w:t>7</w:t>
      </w:r>
      <w:r w:rsidR="00A711EF">
        <w:t xml:space="preserve"> and 2016</w:t>
      </w:r>
    </w:p>
    <w:p w14:paraId="79C84A99" w14:textId="77777777" w:rsidR="00FF6C13" w:rsidRDefault="00FF6C13" w:rsidP="00FF6C13">
      <w:pPr>
        <w:ind w:left="1871"/>
      </w:pPr>
      <w:r>
        <w:t>(Unaudited)</w:t>
      </w:r>
    </w:p>
    <w:p w14:paraId="13E2C154" w14:textId="77777777" w:rsidR="00FF6C13" w:rsidRDefault="00FF6C13" w:rsidP="00575AF0">
      <w:pPr>
        <w:spacing w:before="720"/>
        <w:ind w:left="1872"/>
      </w:pPr>
    </w:p>
    <w:p w14:paraId="7D1F5CCC" w14:textId="77777777" w:rsidR="00FF6C13" w:rsidRDefault="00FF6C13" w:rsidP="00575AF0">
      <w:pPr>
        <w:spacing w:before="720"/>
        <w:ind w:left="1872"/>
      </w:pPr>
    </w:p>
    <w:p w14:paraId="37380189" w14:textId="77777777" w:rsidR="00FF6C13" w:rsidRPr="00FF6C13" w:rsidRDefault="00FF6C13" w:rsidP="00FF6C13">
      <w:pPr>
        <w:pStyle w:val="Default"/>
        <w:ind w:left="567"/>
      </w:pPr>
    </w:p>
    <w:p w14:paraId="7A9FAF52" w14:textId="6D7E6318" w:rsidR="00062D92" w:rsidRDefault="00FF6C13" w:rsidP="00FF6C13">
      <w:pPr>
        <w:widowControl/>
        <w:autoSpaceDE/>
        <w:autoSpaceDN/>
        <w:adjustRightInd/>
        <w:spacing w:after="200" w:line="276" w:lineRule="auto"/>
        <w:ind w:left="567"/>
      </w:pPr>
      <w:r w:rsidRPr="00FF6C13">
        <w:t>In accordance with National Instruments 51-102 released by the Canadian Securities Administrators, the Company discloses its auditors have not reviewed the unaudited financial st</w:t>
      </w:r>
      <w:r w:rsidR="008F61DC">
        <w:t>atements for the six</w:t>
      </w:r>
      <w:r>
        <w:t xml:space="preserve"> months ended </w:t>
      </w:r>
      <w:r w:rsidR="008F61DC">
        <w:t>June 30</w:t>
      </w:r>
      <w:r w:rsidR="000536CC">
        <w:t>,</w:t>
      </w:r>
      <w:r w:rsidR="00A80889">
        <w:t xml:space="preserve"> 2017</w:t>
      </w:r>
      <w:r>
        <w:t>.</w:t>
      </w:r>
    </w:p>
    <w:p w14:paraId="5B15D2BA" w14:textId="77777777" w:rsidR="00062D92" w:rsidRDefault="00062D92" w:rsidP="00062D92">
      <w:pPr>
        <w:spacing w:before="8" w:line="280" w:lineRule="exact"/>
        <w:rPr>
          <w:sz w:val="28"/>
          <w:szCs w:val="28"/>
        </w:rPr>
      </w:pPr>
    </w:p>
    <w:p w14:paraId="6F41FFCF" w14:textId="77777777" w:rsidR="00FF6C13" w:rsidRDefault="00FF6C13" w:rsidP="00062D92">
      <w:pPr>
        <w:spacing w:before="8" w:line="280" w:lineRule="exact"/>
        <w:rPr>
          <w:sz w:val="28"/>
          <w:szCs w:val="28"/>
        </w:rPr>
      </w:pPr>
    </w:p>
    <w:p w14:paraId="51FFAB06" w14:textId="77777777" w:rsidR="00FF6C13" w:rsidRDefault="00FF6C13" w:rsidP="00062D92">
      <w:pPr>
        <w:spacing w:before="8" w:line="280" w:lineRule="exact"/>
        <w:rPr>
          <w:sz w:val="28"/>
          <w:szCs w:val="28"/>
        </w:rPr>
      </w:pPr>
    </w:p>
    <w:p w14:paraId="5850E4B6" w14:textId="77777777" w:rsidR="00FF6C13" w:rsidRDefault="00FF6C13" w:rsidP="00062D92">
      <w:pPr>
        <w:spacing w:before="8" w:line="280" w:lineRule="exact"/>
        <w:rPr>
          <w:sz w:val="28"/>
          <w:szCs w:val="28"/>
        </w:rPr>
      </w:pPr>
    </w:p>
    <w:p w14:paraId="32630AA9" w14:textId="77777777" w:rsidR="00FF6C13" w:rsidRDefault="00FF6C13" w:rsidP="00062D92">
      <w:pPr>
        <w:spacing w:before="8" w:line="280" w:lineRule="exact"/>
        <w:rPr>
          <w:sz w:val="28"/>
          <w:szCs w:val="28"/>
        </w:rPr>
      </w:pPr>
    </w:p>
    <w:p w14:paraId="1C9CC87E" w14:textId="77777777" w:rsidR="00FF6C13" w:rsidRDefault="00FF6C13" w:rsidP="00062D92">
      <w:pPr>
        <w:spacing w:before="8" w:line="280" w:lineRule="exact"/>
        <w:rPr>
          <w:sz w:val="28"/>
          <w:szCs w:val="28"/>
        </w:rPr>
      </w:pPr>
    </w:p>
    <w:p w14:paraId="45C44E1C" w14:textId="77777777" w:rsidR="00BA7303" w:rsidRDefault="00BA7303" w:rsidP="00062D92">
      <w:pPr>
        <w:spacing w:before="8" w:line="280" w:lineRule="exact"/>
        <w:rPr>
          <w:sz w:val="28"/>
          <w:szCs w:val="28"/>
        </w:rPr>
      </w:pPr>
    </w:p>
    <w:p w14:paraId="16F554D4" w14:textId="77777777" w:rsidR="00BA7303" w:rsidRDefault="00BA7303" w:rsidP="00062D92">
      <w:pPr>
        <w:spacing w:before="8" w:line="280" w:lineRule="exact"/>
        <w:rPr>
          <w:sz w:val="28"/>
          <w:szCs w:val="28"/>
        </w:rPr>
      </w:pPr>
    </w:p>
    <w:p w14:paraId="5CC3F586" w14:textId="77777777" w:rsidR="00072E7A" w:rsidRPr="00F06508" w:rsidRDefault="00072E7A" w:rsidP="00BA7303">
      <w:pPr>
        <w:ind w:right="-20"/>
        <w:rPr>
          <w:rFonts w:eastAsia="Arial"/>
        </w:rPr>
        <w:sectPr w:rsidR="00072E7A" w:rsidRPr="00F06508" w:rsidSect="009518F4">
          <w:headerReference w:type="first" r:id="rId11"/>
          <w:footerReference w:type="first" r:id="rId12"/>
          <w:pgSz w:w="12240" w:h="15840"/>
          <w:pgMar w:top="1008" w:right="1008" w:bottom="1008" w:left="1008" w:header="720" w:footer="720" w:gutter="0"/>
          <w:cols w:space="720"/>
          <w:noEndnote/>
          <w:docGrid w:linePitch="245"/>
        </w:sectPr>
      </w:pPr>
    </w:p>
    <w:p w14:paraId="64AEEB78" w14:textId="34062308" w:rsidR="004D56A1" w:rsidRDefault="00854C54" w:rsidP="00575AF0">
      <w:pPr>
        <w:pStyle w:val="3-ColumnBS"/>
        <w:tabs>
          <w:tab w:val="right" w:pos="4752"/>
        </w:tabs>
        <w:spacing w:before="720"/>
      </w:pPr>
      <w:r w:rsidRPr="00854C54">
        <w:rPr>
          <w:noProof/>
        </w:rPr>
        <w:lastRenderedPageBreak/>
        <w:drawing>
          <wp:inline distT="0" distB="0" distL="0" distR="0" wp14:anchorId="7F97062A" wp14:editId="455A4B43">
            <wp:extent cx="5770245" cy="678878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0245" cy="6788785"/>
                    </a:xfrm>
                    <a:prstGeom prst="rect">
                      <a:avLst/>
                    </a:prstGeom>
                    <a:noFill/>
                    <a:ln>
                      <a:noFill/>
                    </a:ln>
                  </pic:spPr>
                </pic:pic>
              </a:graphicData>
            </a:graphic>
          </wp:inline>
        </w:drawing>
      </w:r>
      <w:r w:rsidR="001A2907">
        <w:tab/>
      </w:r>
    </w:p>
    <w:p w14:paraId="258C59F9" w14:textId="77777777" w:rsidR="004D56A1" w:rsidRDefault="004D56A1" w:rsidP="00575AF0">
      <w:pPr>
        <w:pStyle w:val="3-ColumnBS"/>
        <w:tabs>
          <w:tab w:val="right" w:pos="4752"/>
        </w:tabs>
        <w:spacing w:before="720"/>
        <w:sectPr w:rsidR="004D56A1" w:rsidSect="00C44168">
          <w:headerReference w:type="default" r:id="rId14"/>
          <w:footerReference w:type="default" r:id="rId15"/>
          <w:pgSz w:w="12240" w:h="15840"/>
          <w:pgMar w:top="1008" w:right="1008" w:bottom="1008" w:left="1008" w:header="720" w:footer="720" w:gutter="0"/>
          <w:cols w:space="720"/>
          <w:noEndnote/>
          <w:docGrid w:linePitch="245"/>
        </w:sectPr>
      </w:pPr>
    </w:p>
    <w:p w14:paraId="14647735" w14:textId="2BF7E245" w:rsidR="00072E7A" w:rsidRPr="005538E7" w:rsidRDefault="00320587" w:rsidP="001B0D0E">
      <w:pPr>
        <w:pStyle w:val="3-ColumnIS"/>
        <w:tabs>
          <w:tab w:val="right" w:pos="5760"/>
        </w:tabs>
        <w:spacing w:before="720"/>
        <w:sectPr w:rsidR="00072E7A" w:rsidRPr="005538E7" w:rsidSect="00C44168">
          <w:headerReference w:type="default" r:id="rId16"/>
          <w:footerReference w:type="default" r:id="rId17"/>
          <w:pgSz w:w="12240" w:h="15840"/>
          <w:pgMar w:top="1008" w:right="1008" w:bottom="1008" w:left="1008" w:header="720" w:footer="720" w:gutter="0"/>
          <w:pgNumType w:start="2"/>
          <w:cols w:space="720"/>
          <w:noEndnote/>
          <w:docGrid w:linePitch="245"/>
        </w:sectPr>
      </w:pPr>
      <w:r w:rsidRPr="00320587">
        <w:rPr>
          <w:noProof/>
        </w:rPr>
        <w:lastRenderedPageBreak/>
        <w:drawing>
          <wp:inline distT="0" distB="0" distL="0" distR="0" wp14:anchorId="4C9E1AAB" wp14:editId="39E81D10">
            <wp:extent cx="6492240" cy="516846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2240" cy="5168461"/>
                    </a:xfrm>
                    <a:prstGeom prst="rect">
                      <a:avLst/>
                    </a:prstGeom>
                    <a:noFill/>
                    <a:ln>
                      <a:noFill/>
                    </a:ln>
                  </pic:spPr>
                </pic:pic>
              </a:graphicData>
            </a:graphic>
          </wp:inline>
        </w:drawing>
      </w:r>
      <w:r w:rsidR="001B0D0E">
        <w:tab/>
      </w:r>
      <w:r w:rsidR="001B0D0E">
        <w:tab/>
      </w:r>
      <w:r w:rsidR="005538E7">
        <w:tab/>
      </w:r>
    </w:p>
    <w:p w14:paraId="6D3DE63F" w14:textId="77777777" w:rsidR="00072E7A" w:rsidRDefault="001A2907" w:rsidP="00732DD1">
      <w:pPr>
        <w:pStyle w:val="5-Column"/>
        <w:tabs>
          <w:tab w:val="clear" w:pos="5616"/>
          <w:tab w:val="clear" w:pos="7200"/>
          <w:tab w:val="clear" w:pos="8784"/>
          <w:tab w:val="clear" w:pos="10224"/>
          <w:tab w:val="right" w:pos="3600"/>
          <w:tab w:val="right" w:pos="5040"/>
          <w:tab w:val="right" w:pos="6336"/>
        </w:tabs>
        <w:rPr>
          <w:b/>
          <w:bCs/>
        </w:rPr>
      </w:pPr>
      <w:r>
        <w:rPr>
          <w:b/>
          <w:bCs/>
        </w:rPr>
        <w:lastRenderedPageBreak/>
        <w:tab/>
      </w:r>
    </w:p>
    <w:p w14:paraId="7AB6EF5A" w14:textId="106BAAD4" w:rsidR="00732DD1" w:rsidRDefault="00422D09" w:rsidP="00732DD1">
      <w:pPr>
        <w:pStyle w:val="5-Column"/>
        <w:tabs>
          <w:tab w:val="clear" w:pos="5616"/>
          <w:tab w:val="clear" w:pos="7200"/>
          <w:tab w:val="clear" w:pos="8784"/>
          <w:tab w:val="clear" w:pos="10224"/>
          <w:tab w:val="right" w:pos="3600"/>
          <w:tab w:val="right" w:pos="5040"/>
          <w:tab w:val="right" w:pos="6336"/>
        </w:tabs>
        <w:rPr>
          <w:b/>
          <w:bCs/>
        </w:rPr>
      </w:pPr>
      <w:r w:rsidRPr="00422D09">
        <w:rPr>
          <w:noProof/>
        </w:rPr>
        <w:drawing>
          <wp:inline distT="0" distB="0" distL="0" distR="0" wp14:anchorId="1CE1F1EE" wp14:editId="664AA934">
            <wp:extent cx="6492240" cy="4811625"/>
            <wp:effectExtent l="0" t="0" r="381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2240" cy="4811625"/>
                    </a:xfrm>
                    <a:prstGeom prst="rect">
                      <a:avLst/>
                    </a:prstGeom>
                    <a:noFill/>
                    <a:ln>
                      <a:noFill/>
                    </a:ln>
                  </pic:spPr>
                </pic:pic>
              </a:graphicData>
            </a:graphic>
          </wp:inline>
        </w:drawing>
      </w:r>
    </w:p>
    <w:p w14:paraId="57094242" w14:textId="3BF4F223" w:rsidR="00732DD1" w:rsidRDefault="00732DD1" w:rsidP="00732DD1">
      <w:pPr>
        <w:pStyle w:val="5-Column"/>
        <w:tabs>
          <w:tab w:val="clear" w:pos="5616"/>
          <w:tab w:val="clear" w:pos="7200"/>
          <w:tab w:val="clear" w:pos="8784"/>
          <w:tab w:val="clear" w:pos="10224"/>
          <w:tab w:val="right" w:pos="3600"/>
          <w:tab w:val="right" w:pos="5040"/>
          <w:tab w:val="right" w:pos="6336"/>
        </w:tabs>
        <w:rPr>
          <w:b/>
          <w:bCs/>
        </w:rPr>
      </w:pPr>
    </w:p>
    <w:p w14:paraId="193FD3D7" w14:textId="77777777" w:rsidR="00732DD1" w:rsidRDefault="00732DD1" w:rsidP="00732DD1">
      <w:pPr>
        <w:pStyle w:val="5-Column"/>
        <w:tabs>
          <w:tab w:val="clear" w:pos="5616"/>
          <w:tab w:val="clear" w:pos="7200"/>
          <w:tab w:val="clear" w:pos="8784"/>
          <w:tab w:val="clear" w:pos="10224"/>
          <w:tab w:val="right" w:pos="3600"/>
          <w:tab w:val="right" w:pos="5040"/>
          <w:tab w:val="right" w:pos="6336"/>
        </w:tabs>
        <w:rPr>
          <w:b/>
          <w:bCs/>
        </w:rPr>
      </w:pPr>
    </w:p>
    <w:p w14:paraId="40AEAE3B" w14:textId="77777777" w:rsidR="00732DD1" w:rsidRDefault="00732DD1" w:rsidP="00732DD1">
      <w:pPr>
        <w:pStyle w:val="5-Column"/>
        <w:tabs>
          <w:tab w:val="clear" w:pos="5616"/>
          <w:tab w:val="clear" w:pos="7200"/>
          <w:tab w:val="clear" w:pos="8784"/>
          <w:tab w:val="clear" w:pos="10224"/>
          <w:tab w:val="right" w:pos="3600"/>
          <w:tab w:val="right" w:pos="5040"/>
          <w:tab w:val="right" w:pos="6336"/>
        </w:tabs>
        <w:rPr>
          <w:b/>
          <w:bCs/>
        </w:rPr>
      </w:pPr>
    </w:p>
    <w:p w14:paraId="085EE015" w14:textId="77777777" w:rsidR="00732DD1" w:rsidRDefault="00732DD1" w:rsidP="00732DD1">
      <w:pPr>
        <w:pStyle w:val="5-Column"/>
        <w:tabs>
          <w:tab w:val="clear" w:pos="5616"/>
          <w:tab w:val="clear" w:pos="7200"/>
          <w:tab w:val="clear" w:pos="8784"/>
          <w:tab w:val="clear" w:pos="10224"/>
          <w:tab w:val="right" w:pos="3600"/>
          <w:tab w:val="right" w:pos="5040"/>
          <w:tab w:val="right" w:pos="6336"/>
        </w:tabs>
        <w:rPr>
          <w:b/>
          <w:bCs/>
        </w:rPr>
      </w:pPr>
    </w:p>
    <w:p w14:paraId="3AC74684" w14:textId="77777777" w:rsidR="00732DD1" w:rsidRDefault="00732DD1" w:rsidP="00732DD1">
      <w:pPr>
        <w:pStyle w:val="5-Column"/>
        <w:tabs>
          <w:tab w:val="clear" w:pos="5616"/>
          <w:tab w:val="clear" w:pos="7200"/>
          <w:tab w:val="clear" w:pos="8784"/>
          <w:tab w:val="clear" w:pos="10224"/>
          <w:tab w:val="right" w:pos="3600"/>
          <w:tab w:val="right" w:pos="5040"/>
          <w:tab w:val="right" w:pos="6336"/>
        </w:tabs>
        <w:rPr>
          <w:b/>
          <w:bCs/>
        </w:rPr>
      </w:pPr>
    </w:p>
    <w:p w14:paraId="09E91B56" w14:textId="77777777" w:rsidR="00732DD1" w:rsidRDefault="00732DD1" w:rsidP="00732DD1">
      <w:pPr>
        <w:pStyle w:val="5-Column"/>
        <w:tabs>
          <w:tab w:val="clear" w:pos="5616"/>
          <w:tab w:val="clear" w:pos="7200"/>
          <w:tab w:val="clear" w:pos="8784"/>
          <w:tab w:val="clear" w:pos="10224"/>
          <w:tab w:val="right" w:pos="3600"/>
          <w:tab w:val="right" w:pos="5040"/>
          <w:tab w:val="right" w:pos="6336"/>
        </w:tabs>
        <w:rPr>
          <w:b/>
          <w:bCs/>
        </w:rPr>
      </w:pPr>
    </w:p>
    <w:p w14:paraId="4ECA5C80" w14:textId="77777777" w:rsidR="00732DD1" w:rsidRDefault="00732DD1" w:rsidP="00732DD1">
      <w:pPr>
        <w:pStyle w:val="5-Column"/>
        <w:tabs>
          <w:tab w:val="clear" w:pos="5616"/>
          <w:tab w:val="clear" w:pos="7200"/>
          <w:tab w:val="clear" w:pos="8784"/>
          <w:tab w:val="clear" w:pos="10224"/>
          <w:tab w:val="right" w:pos="3600"/>
          <w:tab w:val="right" w:pos="5040"/>
          <w:tab w:val="right" w:pos="6336"/>
        </w:tabs>
        <w:rPr>
          <w:b/>
          <w:bCs/>
        </w:rPr>
      </w:pPr>
    </w:p>
    <w:p w14:paraId="444B856C" w14:textId="77777777" w:rsidR="00732DD1" w:rsidRDefault="00732DD1" w:rsidP="00732DD1">
      <w:pPr>
        <w:pStyle w:val="5-Column"/>
        <w:tabs>
          <w:tab w:val="clear" w:pos="5616"/>
          <w:tab w:val="clear" w:pos="7200"/>
          <w:tab w:val="clear" w:pos="8784"/>
          <w:tab w:val="clear" w:pos="10224"/>
          <w:tab w:val="right" w:pos="3600"/>
          <w:tab w:val="right" w:pos="5040"/>
          <w:tab w:val="right" w:pos="6336"/>
        </w:tabs>
        <w:sectPr w:rsidR="00732DD1" w:rsidSect="00C44168">
          <w:headerReference w:type="default" r:id="rId20"/>
          <w:footerReference w:type="default" r:id="rId21"/>
          <w:pgSz w:w="12240" w:h="15840"/>
          <w:pgMar w:top="1008" w:right="1008" w:bottom="1008" w:left="1008" w:header="720" w:footer="720" w:gutter="0"/>
          <w:pgNumType w:start="3"/>
          <w:cols w:space="720"/>
          <w:noEndnote/>
        </w:sectPr>
      </w:pPr>
    </w:p>
    <w:p w14:paraId="204A61CB" w14:textId="33473A0C" w:rsidR="00072E7A" w:rsidRDefault="003355B4" w:rsidP="00853B89">
      <w:pPr>
        <w:pStyle w:val="3-ColumnIS"/>
        <w:spacing w:before="240"/>
        <w:sectPr w:rsidR="00072E7A">
          <w:headerReference w:type="default" r:id="rId22"/>
          <w:footerReference w:type="default" r:id="rId23"/>
          <w:pgSz w:w="12240" w:h="15840"/>
          <w:pgMar w:top="1008" w:right="1008" w:bottom="1008" w:left="1008" w:header="720" w:footer="720" w:gutter="0"/>
          <w:cols w:space="720"/>
          <w:noEndnote/>
        </w:sectPr>
      </w:pPr>
      <w:r w:rsidRPr="003355B4">
        <w:rPr>
          <w:noProof/>
        </w:rPr>
        <w:lastRenderedPageBreak/>
        <w:drawing>
          <wp:inline distT="0" distB="0" distL="0" distR="0" wp14:anchorId="6724907D" wp14:editId="5C51D2B2">
            <wp:extent cx="6492240" cy="6756421"/>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2240" cy="6756421"/>
                    </a:xfrm>
                    <a:prstGeom prst="rect">
                      <a:avLst/>
                    </a:prstGeom>
                    <a:noFill/>
                    <a:ln>
                      <a:noFill/>
                    </a:ln>
                  </pic:spPr>
                </pic:pic>
              </a:graphicData>
            </a:graphic>
          </wp:inline>
        </w:drawing>
      </w:r>
      <w:r w:rsidR="001A2907" w:rsidRPr="005218AA">
        <w:rPr>
          <w:b/>
          <w:bCs/>
          <w:color w:val="FF0000"/>
        </w:rPr>
        <w:tab/>
      </w:r>
    </w:p>
    <w:p w14:paraId="60966F41" w14:textId="77777777" w:rsidR="00072E7A" w:rsidRDefault="001A2907" w:rsidP="00F359CF">
      <w:pPr>
        <w:pStyle w:val="Note-Heading"/>
        <w:spacing w:before="100" w:beforeAutospacing="1"/>
        <w:ind w:right="1324"/>
      </w:pPr>
      <w:r>
        <w:lastRenderedPageBreak/>
        <w:t>1.</w:t>
      </w:r>
      <w:r>
        <w:tab/>
        <w:t>Reporting entity:</w:t>
      </w:r>
    </w:p>
    <w:p w14:paraId="0636E789" w14:textId="77777777" w:rsidR="00F359CF" w:rsidRDefault="00F359CF" w:rsidP="00F359CF">
      <w:pPr>
        <w:pStyle w:val="Note-Heading"/>
        <w:tabs>
          <w:tab w:val="left" w:pos="7200"/>
        </w:tabs>
        <w:spacing w:before="100" w:beforeAutospacing="1"/>
        <w:ind w:left="288"/>
        <w:rPr>
          <w:b w:val="0"/>
          <w:bCs w:val="0"/>
        </w:rPr>
      </w:pPr>
      <w:r w:rsidRPr="00F359CF">
        <w:rPr>
          <w:b w:val="0"/>
          <w:bCs w:val="0"/>
        </w:rPr>
        <w:t xml:space="preserve">Kane Biotech Inc. (the "Company") is a biotechnology company engaged in the research, development and commercialization of technologies and products that prevent </w:t>
      </w:r>
      <w:r>
        <w:rPr>
          <w:b w:val="0"/>
          <w:bCs w:val="0"/>
        </w:rPr>
        <w:t>and remove microbial biofilms. The</w:t>
      </w:r>
      <w:r w:rsidRPr="00F359CF">
        <w:rPr>
          <w:b w:val="0"/>
          <w:bCs w:val="0"/>
        </w:rPr>
        <w:t xml:space="preserve"> Company is domiciled</w:t>
      </w:r>
      <w:r w:rsidR="00902906">
        <w:rPr>
          <w:b w:val="0"/>
          <w:bCs w:val="0"/>
        </w:rPr>
        <w:t xml:space="preserve"> and incorporated in Canada. </w:t>
      </w:r>
      <w:r>
        <w:rPr>
          <w:b w:val="0"/>
          <w:bCs w:val="0"/>
        </w:rPr>
        <w:t>Its r</w:t>
      </w:r>
      <w:r w:rsidRPr="00F359CF">
        <w:rPr>
          <w:b w:val="0"/>
          <w:bCs w:val="0"/>
        </w:rPr>
        <w:t xml:space="preserve">egistered office is 162-196 Innovation Drive, Winnipeg, Manitoba, Canada.  </w:t>
      </w:r>
    </w:p>
    <w:p w14:paraId="035D1ADC" w14:textId="77777777" w:rsidR="00072E7A" w:rsidRDefault="001A2907" w:rsidP="00F97A09">
      <w:pPr>
        <w:pStyle w:val="Note-Heading"/>
        <w:tabs>
          <w:tab w:val="left" w:pos="7200"/>
        </w:tabs>
      </w:pPr>
      <w:r>
        <w:t>2.</w:t>
      </w:r>
      <w:r>
        <w:tab/>
        <w:t>Basis of preparation of financial statements:</w:t>
      </w:r>
      <w:r w:rsidR="00F97A09">
        <w:tab/>
      </w:r>
    </w:p>
    <w:p w14:paraId="25DC2438" w14:textId="77777777" w:rsidR="00072E7A" w:rsidRDefault="001A2907">
      <w:pPr>
        <w:pStyle w:val="Note-Sub-heading"/>
      </w:pPr>
      <w:r>
        <w:t>(a)</w:t>
      </w:r>
      <w:r>
        <w:tab/>
        <w:t>Statement of compliance</w:t>
      </w:r>
    </w:p>
    <w:p w14:paraId="096637F6" w14:textId="77777777" w:rsidR="007E335D" w:rsidRPr="007E335D" w:rsidRDefault="007E335D" w:rsidP="007E335D">
      <w:pPr>
        <w:spacing w:before="144"/>
        <w:ind w:left="720"/>
        <w:jc w:val="both"/>
        <w:rPr>
          <w:rFonts w:eastAsia="Times New Roman"/>
          <w:spacing w:val="-2"/>
        </w:rPr>
      </w:pPr>
      <w:r w:rsidRPr="007E335D">
        <w:rPr>
          <w:rFonts w:eastAsia="Times New Roman"/>
          <w:spacing w:val="-2"/>
        </w:rPr>
        <w:t xml:space="preserve">The financial statements have been prepared in accordance with International Financial Reporting Standards (IFRSs) as issued by the International Accounting Standards Board (IASB).  </w:t>
      </w:r>
    </w:p>
    <w:p w14:paraId="317D9403" w14:textId="1FB64C44" w:rsidR="007E335D" w:rsidRPr="007E335D" w:rsidRDefault="007E335D" w:rsidP="007E335D">
      <w:pPr>
        <w:spacing w:before="144"/>
        <w:ind w:left="720"/>
        <w:jc w:val="both"/>
        <w:rPr>
          <w:rFonts w:eastAsia="Times New Roman"/>
          <w:spacing w:val="-2"/>
        </w:rPr>
      </w:pPr>
      <w:r w:rsidRPr="007E335D">
        <w:rPr>
          <w:rFonts w:eastAsia="Times New Roman"/>
          <w:spacing w:val="-2"/>
        </w:rPr>
        <w:t xml:space="preserve">The financial statements were authorized for issue by the Board of Directors </w:t>
      </w:r>
      <w:r w:rsidRPr="001B4363">
        <w:rPr>
          <w:rFonts w:eastAsia="Times New Roman"/>
          <w:spacing w:val="-2"/>
        </w:rPr>
        <w:t xml:space="preserve">on </w:t>
      </w:r>
      <w:r w:rsidR="00F02C8C" w:rsidRPr="001B4363">
        <w:rPr>
          <w:rFonts w:eastAsia="Times New Roman"/>
          <w:spacing w:val="-2"/>
        </w:rPr>
        <w:t>August 16</w:t>
      </w:r>
      <w:r w:rsidRPr="001B4363">
        <w:rPr>
          <w:rFonts w:eastAsia="Times New Roman"/>
          <w:spacing w:val="-2"/>
        </w:rPr>
        <w:t>, 2017.</w:t>
      </w:r>
    </w:p>
    <w:p w14:paraId="39A4010B" w14:textId="51025976" w:rsidR="00072E7A" w:rsidRDefault="001A2907" w:rsidP="007E335D">
      <w:pPr>
        <w:pStyle w:val="Note-Sub-heading"/>
      </w:pPr>
      <w:r>
        <w:t>(b)</w:t>
      </w:r>
      <w:r>
        <w:tab/>
        <w:t>Basis of measurement</w:t>
      </w:r>
    </w:p>
    <w:p w14:paraId="63C8E78C" w14:textId="77777777" w:rsidR="00072E7A" w:rsidRDefault="001A2907" w:rsidP="009109EF">
      <w:pPr>
        <w:pStyle w:val="Note-Sub-normal"/>
      </w:pPr>
      <w:r>
        <w:t xml:space="preserve">The financial statements have been prepared on the historical cost </w:t>
      </w:r>
      <w:r w:rsidRPr="008C1908">
        <w:t>basis</w:t>
      </w:r>
      <w:r w:rsidR="006577EA">
        <w:t xml:space="preserve"> except for the following items:</w:t>
      </w:r>
    </w:p>
    <w:p w14:paraId="2D67DCEC" w14:textId="77777777" w:rsidR="006577EA" w:rsidRDefault="006577EA" w:rsidP="006577EA">
      <w:pPr>
        <w:pStyle w:val="Note-Sub-normal"/>
        <w:numPr>
          <w:ilvl w:val="0"/>
          <w:numId w:val="21"/>
        </w:numPr>
      </w:pPr>
      <w:r>
        <w:t>financial instruments at fair value a</w:t>
      </w:r>
      <w:r w:rsidR="00F1707E">
        <w:t>t</w:t>
      </w:r>
      <w:r>
        <w:t xml:space="preserve"> the issue date</w:t>
      </w:r>
    </w:p>
    <w:p w14:paraId="04931544" w14:textId="77777777" w:rsidR="006577EA" w:rsidRDefault="006C4EFD" w:rsidP="006577EA">
      <w:pPr>
        <w:pStyle w:val="Note-Sub-normal"/>
        <w:numPr>
          <w:ilvl w:val="0"/>
          <w:numId w:val="21"/>
        </w:numPr>
      </w:pPr>
      <w:r>
        <w:t>equity settled share-</w:t>
      </w:r>
      <w:r w:rsidR="006577EA">
        <w:t>based payment awards are measured at fair value at the grant date</w:t>
      </w:r>
    </w:p>
    <w:p w14:paraId="19A388C7" w14:textId="77777777" w:rsidR="00072E7A" w:rsidRDefault="001A2907">
      <w:pPr>
        <w:pStyle w:val="Note-Sub-heading"/>
      </w:pPr>
      <w:r>
        <w:t>(c)</w:t>
      </w:r>
      <w:r>
        <w:tab/>
        <w:t>Going concern</w:t>
      </w:r>
    </w:p>
    <w:p w14:paraId="31C3012D" w14:textId="77777777" w:rsidR="00FD3273" w:rsidRPr="00691331" w:rsidRDefault="00FD3273" w:rsidP="00FD3273">
      <w:pPr>
        <w:pStyle w:val="Note-Sub-normal"/>
        <w:rPr>
          <w:spacing w:val="-2"/>
        </w:rPr>
      </w:pPr>
      <w:r w:rsidRPr="00691331">
        <w:rPr>
          <w:spacing w:val="-2"/>
        </w:rPr>
        <w:t>These financial statements have been prepared using IFRSs that are applicable to a going concern, which contemplates that Kane Biotech Inc. will continue in operation for the foreseeable future and will be able to realize its assets and discharge its liabilities and commitments in the normal course of business</w:t>
      </w:r>
      <w:r w:rsidRPr="0056269C">
        <w:rPr>
          <w:spacing w:val="-2"/>
        </w:rPr>
        <w:t>.  There is substantial doubt about the appropriateness of the use of the going concern assumption because the Company has experienced operating losses and cash outflows from operations since inception and has not reached successful commercialization of its products.</w:t>
      </w:r>
    </w:p>
    <w:p w14:paraId="2110EEBF" w14:textId="77777777" w:rsidR="00FD3273" w:rsidRPr="00691331" w:rsidRDefault="00FD3273" w:rsidP="00FD3273">
      <w:pPr>
        <w:pStyle w:val="Note-Sub-normal"/>
        <w:rPr>
          <w:spacing w:val="-2"/>
        </w:rPr>
      </w:pPr>
      <w:r w:rsidRPr="00691331">
        <w:rPr>
          <w:spacing w:val="-2"/>
        </w:rPr>
        <w:t>The Company's future operations are completely dependent upon its ability to generate product sales, negotiate collaboration or licence agreements with upfront payments, obtain research grant funding, or other strategic alternatives, and/or secure additional funds.  While the Company is striving to achieve the above plans, there is no assurance that such sources of funds will be available or obtained on favourable terms.  If the Company cannot generate product sales, negotiate collaboration or licence agreements with upfront payments, obtain research grant funding, or if it cannot secure additional financing on terms that would be acceptable to it, the Company will have to consider additional strategic alternatives which may include, among other strategies, exploring the monetization of certain tangible and intangible assets as well as seeking to license assets, potential asset divestitures, winding up, dissolution or liquidation of the Company.</w:t>
      </w:r>
    </w:p>
    <w:p w14:paraId="21A3CF3C" w14:textId="77777777" w:rsidR="00FD3273" w:rsidRPr="00691331" w:rsidRDefault="00FD3273" w:rsidP="00FD3273">
      <w:pPr>
        <w:pStyle w:val="Note-Sub-normal"/>
        <w:rPr>
          <w:spacing w:val="-2"/>
        </w:rPr>
      </w:pPr>
      <w:r w:rsidRPr="00691331">
        <w:rPr>
          <w:spacing w:val="-2"/>
        </w:rPr>
        <w:t>The ability of the Company to continue as a going concern and to realize the carrying value of its assets and discharge its liabilities and commitments when due is dependent on the successful completion of the actions taken or planned, some of which are described above, which management believes will mitigate the adverse conditions and events which raise doubt about the validity of the going concern assumption used in preparing these financial statements. There is no certainty that these and other strategies will be sufficient to permit the Company to continue as a going concern.</w:t>
      </w:r>
    </w:p>
    <w:p w14:paraId="2451ECF7" w14:textId="2709D65F" w:rsidR="00FD3273" w:rsidRPr="00691331" w:rsidRDefault="00FD3273" w:rsidP="00FD3273">
      <w:pPr>
        <w:pStyle w:val="Note-Sub-normal"/>
        <w:rPr>
          <w:spacing w:val="-2"/>
        </w:rPr>
      </w:pPr>
      <w:r w:rsidRPr="00691331">
        <w:rPr>
          <w:spacing w:val="-2"/>
        </w:rPr>
        <w:t>These financial statements do not reflect adjustments in the carrying values of the Company’s assets and liabilities, revenue and expenses, and the statement of financial position classifications used, that would be necessary if the going concern as</w:t>
      </w:r>
      <w:r w:rsidR="00F02C8C">
        <w:rPr>
          <w:spacing w:val="-2"/>
        </w:rPr>
        <w:t xml:space="preserve">sumption were not appropriate. </w:t>
      </w:r>
      <w:r w:rsidRPr="00691331">
        <w:rPr>
          <w:spacing w:val="-2"/>
        </w:rPr>
        <w:t>Such adjustments could be material.</w:t>
      </w:r>
    </w:p>
    <w:p w14:paraId="75FC9419" w14:textId="47661CBE" w:rsidR="00072E7A" w:rsidRDefault="001A2907" w:rsidP="00FD3273">
      <w:pPr>
        <w:pStyle w:val="Note-Sub-heading"/>
      </w:pPr>
      <w:r>
        <w:t>(d)</w:t>
      </w:r>
      <w:r>
        <w:tab/>
        <w:t>Functional and presentation currency</w:t>
      </w:r>
    </w:p>
    <w:p w14:paraId="75CA7126" w14:textId="77777777" w:rsidR="00FD3273" w:rsidRPr="00691331" w:rsidRDefault="00FD3273" w:rsidP="00FD3273">
      <w:pPr>
        <w:pStyle w:val="Note-Sub-normal"/>
        <w:rPr>
          <w:spacing w:val="-2"/>
        </w:rPr>
      </w:pPr>
      <w:r w:rsidRPr="00691331">
        <w:rPr>
          <w:spacing w:val="-2"/>
        </w:rPr>
        <w:t>The financial statements are presented in Canadian dollars, which is the Company's functional currency.  All financial information presented has been rounded to the nearest dollar except where indicated otherwise.</w:t>
      </w:r>
    </w:p>
    <w:p w14:paraId="7263B88F" w14:textId="77777777" w:rsidR="00902906" w:rsidRPr="00902906" w:rsidRDefault="00E2009D" w:rsidP="00902906">
      <w:pPr>
        <w:widowControl/>
        <w:autoSpaceDE/>
        <w:autoSpaceDN/>
        <w:adjustRightInd/>
        <w:spacing w:after="200" w:line="276" w:lineRule="auto"/>
        <w:rPr>
          <w:b/>
          <w:bCs/>
        </w:rPr>
      </w:pPr>
      <w:r>
        <w:br w:type="page"/>
      </w:r>
    </w:p>
    <w:p w14:paraId="76AC4C98" w14:textId="77777777" w:rsidR="00E2009D" w:rsidRDefault="00E2009D" w:rsidP="00E2009D">
      <w:pPr>
        <w:pStyle w:val="Note-Heading"/>
      </w:pPr>
      <w:r>
        <w:lastRenderedPageBreak/>
        <w:t>2.</w:t>
      </w:r>
      <w:r>
        <w:tab/>
        <w:t>Basis of preparation of financial statements (continued):</w:t>
      </w:r>
    </w:p>
    <w:p w14:paraId="4B034CCB" w14:textId="566837D5" w:rsidR="00072E7A" w:rsidRDefault="001A2907" w:rsidP="00E2009D">
      <w:pPr>
        <w:pStyle w:val="Note-Sub-heading"/>
      </w:pPr>
      <w:r>
        <w:t>(e)</w:t>
      </w:r>
      <w:r>
        <w:tab/>
        <w:t>Use of estimates and judgments</w:t>
      </w:r>
    </w:p>
    <w:p w14:paraId="58A5DF09" w14:textId="77777777" w:rsidR="00FD3273" w:rsidRPr="00691331" w:rsidRDefault="00FD3273" w:rsidP="00FD3273">
      <w:pPr>
        <w:pStyle w:val="Note-Sub-normal"/>
        <w:rPr>
          <w:spacing w:val="-2"/>
        </w:rPr>
      </w:pPr>
      <w:r w:rsidRPr="00691331">
        <w:rPr>
          <w:spacing w:val="-2"/>
        </w:rPr>
        <w:t>The preparation of these financial statements in conformity with IFRSs requires management to make judgments, estimates and assumptions that affect the application of accounting policies and the reported amounts of assets, liabilities, revenue and expenses. Actual results may differ from these estimates.</w:t>
      </w:r>
    </w:p>
    <w:p w14:paraId="6E6A4D8F" w14:textId="77777777" w:rsidR="00FD3273" w:rsidRPr="00691331" w:rsidRDefault="00FD3273" w:rsidP="00FD3273">
      <w:pPr>
        <w:pStyle w:val="Note-Sub-normal"/>
        <w:rPr>
          <w:spacing w:val="-2"/>
        </w:rPr>
      </w:pPr>
      <w:r w:rsidRPr="00691331">
        <w:rPr>
          <w:spacing w:val="-2"/>
        </w:rPr>
        <w:t>Estimates and underlying assumptions are reviewed on an ongoing basis. Revisions to accounting estimates are recognized in the period in which the estimates are revised and in any future periods affected.</w:t>
      </w:r>
    </w:p>
    <w:p w14:paraId="7F2E595C" w14:textId="77777777" w:rsidR="00FD3273" w:rsidRPr="00691331" w:rsidRDefault="00FD3273" w:rsidP="00FD3273">
      <w:pPr>
        <w:pStyle w:val="Note-Sub-normal"/>
        <w:rPr>
          <w:spacing w:val="-2"/>
        </w:rPr>
      </w:pPr>
      <w:r w:rsidRPr="00691331">
        <w:rPr>
          <w:spacing w:val="-2"/>
        </w:rPr>
        <w:t>Information about critical judgments in applying accounting policies that have the most significant effect on the amounts recognized in the financial statements and information about assumptions and estimation uncertainties that have a significant risk of resulting in a material adjustment within the next financial years are included in the following notes:</w:t>
      </w:r>
    </w:p>
    <w:p w14:paraId="30272CB6" w14:textId="77777777" w:rsidR="00FD3273" w:rsidRPr="00691331" w:rsidRDefault="00FD3273" w:rsidP="00FD3273">
      <w:pPr>
        <w:pStyle w:val="Note-Sub-normal"/>
        <w:numPr>
          <w:ilvl w:val="0"/>
          <w:numId w:val="20"/>
        </w:numPr>
        <w:tabs>
          <w:tab w:val="clear" w:pos="340"/>
          <w:tab w:val="num" w:pos="1060"/>
        </w:tabs>
        <w:ind w:left="1060"/>
        <w:rPr>
          <w:spacing w:val="-2"/>
        </w:rPr>
      </w:pPr>
      <w:r>
        <w:rPr>
          <w:spacing w:val="-2"/>
        </w:rPr>
        <w:t>Note 3(c)(iv</w:t>
      </w:r>
      <w:r w:rsidRPr="00691331">
        <w:rPr>
          <w:spacing w:val="-2"/>
        </w:rPr>
        <w:t>) Convertible note</w:t>
      </w:r>
    </w:p>
    <w:p w14:paraId="69EB198E" w14:textId="77777777" w:rsidR="00FD3273" w:rsidRPr="001942B6" w:rsidRDefault="00FD3273" w:rsidP="00FD3273">
      <w:pPr>
        <w:pStyle w:val="Note-Sub-normal"/>
        <w:numPr>
          <w:ilvl w:val="0"/>
          <w:numId w:val="20"/>
        </w:numPr>
        <w:tabs>
          <w:tab w:val="clear" w:pos="340"/>
          <w:tab w:val="num" w:pos="1060"/>
        </w:tabs>
        <w:ind w:left="1060"/>
      </w:pPr>
      <w:r w:rsidRPr="00691331">
        <w:rPr>
          <w:spacing w:val="-2"/>
        </w:rPr>
        <w:t>Note 3(f)(i) Research and development costs</w:t>
      </w:r>
    </w:p>
    <w:p w14:paraId="7B405BD0" w14:textId="77777777" w:rsidR="00FD3273" w:rsidRPr="001942B6" w:rsidRDefault="00FD3273" w:rsidP="00FD3273">
      <w:pPr>
        <w:pStyle w:val="Note-Sub-normal"/>
        <w:numPr>
          <w:ilvl w:val="0"/>
          <w:numId w:val="20"/>
        </w:numPr>
        <w:tabs>
          <w:tab w:val="clear" w:pos="340"/>
          <w:tab w:val="num" w:pos="1060"/>
        </w:tabs>
        <w:ind w:left="1060"/>
      </w:pPr>
      <w:r w:rsidRPr="00691331">
        <w:rPr>
          <w:spacing w:val="-2"/>
        </w:rPr>
        <w:t>Note 3(f)(ii) Patents and trademarks</w:t>
      </w:r>
    </w:p>
    <w:p w14:paraId="6F0F24BC" w14:textId="77777777" w:rsidR="00FD3273" w:rsidRDefault="00FD3273" w:rsidP="00FD3273">
      <w:pPr>
        <w:pStyle w:val="Note-Sub-normal"/>
        <w:numPr>
          <w:ilvl w:val="0"/>
          <w:numId w:val="20"/>
        </w:numPr>
        <w:tabs>
          <w:tab w:val="clear" w:pos="340"/>
          <w:tab w:val="num" w:pos="1060"/>
        </w:tabs>
        <w:ind w:left="1060"/>
        <w:rPr>
          <w:spacing w:val="-2"/>
        </w:rPr>
      </w:pPr>
      <w:r w:rsidRPr="00691331">
        <w:rPr>
          <w:spacing w:val="-2"/>
        </w:rPr>
        <w:t>Note 3(f)(iii)</w:t>
      </w:r>
      <w:r>
        <w:rPr>
          <w:spacing w:val="-2"/>
        </w:rPr>
        <w:t xml:space="preserve"> </w:t>
      </w:r>
      <w:r w:rsidRPr="00691331">
        <w:rPr>
          <w:spacing w:val="-2"/>
        </w:rPr>
        <w:t>Technology licenses</w:t>
      </w:r>
    </w:p>
    <w:p w14:paraId="330128F9" w14:textId="5BCFF13D" w:rsidR="00F359CF" w:rsidRPr="00F359CF" w:rsidRDefault="00D802A8" w:rsidP="00F359CF">
      <w:pPr>
        <w:pStyle w:val="Note-Sub-normal"/>
        <w:numPr>
          <w:ilvl w:val="0"/>
          <w:numId w:val="20"/>
        </w:numPr>
        <w:tabs>
          <w:tab w:val="clear" w:pos="340"/>
          <w:tab w:val="num" w:pos="1060"/>
        </w:tabs>
        <w:ind w:left="1060"/>
      </w:pPr>
      <w:r>
        <w:rPr>
          <w:spacing w:val="-2"/>
        </w:rPr>
        <w:t>Note 3(g)(ii) I</w:t>
      </w:r>
      <w:r w:rsidR="00F359CF" w:rsidRPr="00691331">
        <w:rPr>
          <w:spacing w:val="-2"/>
        </w:rPr>
        <w:t>mp</w:t>
      </w:r>
      <w:r w:rsidR="00F359CF">
        <w:rPr>
          <w:spacing w:val="-2"/>
        </w:rPr>
        <w:t>airment of non-financial assets</w:t>
      </w:r>
    </w:p>
    <w:p w14:paraId="4E8DA8DB" w14:textId="77777777" w:rsidR="00FD3273" w:rsidRPr="001942B6" w:rsidRDefault="00FD3273" w:rsidP="00FD3273">
      <w:pPr>
        <w:pStyle w:val="Note-Sub-normal"/>
        <w:numPr>
          <w:ilvl w:val="0"/>
          <w:numId w:val="20"/>
        </w:numPr>
        <w:tabs>
          <w:tab w:val="clear" w:pos="340"/>
          <w:tab w:val="num" w:pos="1060"/>
        </w:tabs>
        <w:ind w:left="1060"/>
      </w:pPr>
      <w:r>
        <w:rPr>
          <w:spacing w:val="-2"/>
        </w:rPr>
        <w:t>Note 3(h)(ii) and Note 17 Share</w:t>
      </w:r>
      <w:r>
        <w:rPr>
          <w:spacing w:val="-2"/>
        </w:rPr>
        <w:noBreakHyphen/>
        <w:t>based payment transactions</w:t>
      </w:r>
    </w:p>
    <w:p w14:paraId="2B93AF94" w14:textId="77777777" w:rsidR="006609F2" w:rsidRDefault="006609F2" w:rsidP="0040763B">
      <w:pPr>
        <w:pStyle w:val="Note-Heading"/>
      </w:pPr>
      <w:r w:rsidRPr="0040763B">
        <w:t>3</w:t>
      </w:r>
      <w:r w:rsidR="0040763B">
        <w:t>.</w:t>
      </w:r>
      <w:r w:rsidR="0040763B">
        <w:tab/>
      </w:r>
      <w:r w:rsidRPr="006609F2">
        <w:t>Significant</w:t>
      </w:r>
      <w:r w:rsidRPr="0040763B">
        <w:t xml:space="preserve"> </w:t>
      </w:r>
      <w:r w:rsidRPr="006609F2">
        <w:t>accounting</w:t>
      </w:r>
      <w:r w:rsidRPr="0040763B">
        <w:t xml:space="preserve"> policies:</w:t>
      </w:r>
    </w:p>
    <w:p w14:paraId="5BC38852" w14:textId="77777777" w:rsidR="00FD3273" w:rsidRPr="00691331" w:rsidRDefault="00FD3273" w:rsidP="00FD3273">
      <w:pPr>
        <w:pStyle w:val="Note-Normal"/>
        <w:rPr>
          <w:spacing w:val="-2"/>
        </w:rPr>
      </w:pPr>
      <w:r w:rsidRPr="00691331">
        <w:rPr>
          <w:spacing w:val="-2"/>
        </w:rPr>
        <w:t xml:space="preserve">The accounting policies set out below have been applied consistently to all periods presented in these financial statements and to the </w:t>
      </w:r>
      <w:r>
        <w:rPr>
          <w:spacing w:val="-2"/>
        </w:rPr>
        <w:t>2016</w:t>
      </w:r>
      <w:r w:rsidRPr="00691331">
        <w:rPr>
          <w:spacing w:val="-2"/>
        </w:rPr>
        <w:t xml:space="preserve"> annual audited financial statements unless otherwise indicated.</w:t>
      </w:r>
    </w:p>
    <w:p w14:paraId="77519D88" w14:textId="77777777" w:rsidR="00FD3273" w:rsidRDefault="00FD3273" w:rsidP="00FD3273">
      <w:pPr>
        <w:pStyle w:val="Note-Normal"/>
        <w:numPr>
          <w:ilvl w:val="0"/>
          <w:numId w:val="22"/>
        </w:numPr>
        <w:rPr>
          <w:b/>
          <w:w w:val="101"/>
        </w:rPr>
      </w:pPr>
      <w:r>
        <w:rPr>
          <w:b/>
          <w:w w:val="101"/>
        </w:rPr>
        <w:t>Revenue recognition</w:t>
      </w:r>
    </w:p>
    <w:p w14:paraId="11157241" w14:textId="77777777" w:rsidR="00FD3273" w:rsidRPr="00691331" w:rsidRDefault="00FD3273" w:rsidP="00FD3273">
      <w:pPr>
        <w:pStyle w:val="Note-Normal"/>
        <w:ind w:left="720"/>
        <w:rPr>
          <w:spacing w:val="-2"/>
        </w:rPr>
      </w:pPr>
      <w:r w:rsidRPr="00691331">
        <w:rPr>
          <w:spacing w:val="-2"/>
        </w:rPr>
        <w:t>Revenue from the sale of goods is recognized when the Company has transferred the significant risks and rewards of ownership to the buyer and it is probable that the Company will receive the previously agreed upon payment. These criteria are considered to be met when the goods are delivered to the buyer.</w:t>
      </w:r>
    </w:p>
    <w:p w14:paraId="7ECCE739" w14:textId="77777777" w:rsidR="00FD3273" w:rsidRPr="00691331" w:rsidRDefault="00F359CF" w:rsidP="00FD3273">
      <w:pPr>
        <w:pStyle w:val="Note-Normal"/>
        <w:ind w:left="720"/>
        <w:rPr>
          <w:spacing w:val="-2"/>
        </w:rPr>
      </w:pPr>
      <w:r>
        <w:rPr>
          <w:spacing w:val="-2"/>
        </w:rPr>
        <w:t xml:space="preserve">Licensing and royalty revenue </w:t>
      </w:r>
      <w:r w:rsidR="00FD3273" w:rsidRPr="00691331">
        <w:rPr>
          <w:spacing w:val="-2"/>
        </w:rPr>
        <w:t>is recognized when contractually earned.</w:t>
      </w:r>
    </w:p>
    <w:p w14:paraId="15CF7E14" w14:textId="77777777" w:rsidR="00FD3273" w:rsidRDefault="00FD3273" w:rsidP="00FD3273">
      <w:pPr>
        <w:pStyle w:val="Note-Sub-heading"/>
      </w:pPr>
      <w:r>
        <w:rPr>
          <w:spacing w:val="1"/>
        </w:rPr>
        <w:t>(b</w:t>
      </w:r>
      <w:r>
        <w:t>)</w:t>
      </w:r>
      <w:r>
        <w:tab/>
        <w:t>Foreign</w:t>
      </w:r>
      <w:r>
        <w:rPr>
          <w:spacing w:val="7"/>
        </w:rPr>
        <w:t xml:space="preserve"> </w:t>
      </w:r>
      <w:r>
        <w:t>currency</w:t>
      </w:r>
      <w:r>
        <w:rPr>
          <w:spacing w:val="8"/>
        </w:rPr>
        <w:t xml:space="preserve"> </w:t>
      </w:r>
      <w:r>
        <w:rPr>
          <w:w w:val="101"/>
        </w:rPr>
        <w:t>transactions</w:t>
      </w:r>
    </w:p>
    <w:p w14:paraId="54248F38" w14:textId="77777777" w:rsidR="00FD3273" w:rsidRPr="00691331" w:rsidRDefault="00FD3273" w:rsidP="00FD3273">
      <w:pPr>
        <w:pStyle w:val="Note-Sub-normal"/>
        <w:rPr>
          <w:spacing w:val="-2"/>
        </w:rPr>
      </w:pPr>
      <w:r w:rsidRPr="00691331">
        <w:rPr>
          <w:spacing w:val="-2"/>
        </w:rPr>
        <w:t xml:space="preserve">Transactions in foreign currencies are translated at exchange rates at the dates of the transactions.  Monetary assets and liabilities denominated in foreign currencies at the reporting date are re-translated at the </w:t>
      </w:r>
      <w:r>
        <w:rPr>
          <w:spacing w:val="-2"/>
        </w:rPr>
        <w:t>exchang</w:t>
      </w:r>
      <w:r w:rsidRPr="00691331">
        <w:rPr>
          <w:spacing w:val="-2"/>
        </w:rPr>
        <w:t>e rate at that date.  Non-monetary items that are measured in terms of historical cost in a foreign currency are translated using the exchange rate at the date of the transaction.</w:t>
      </w:r>
    </w:p>
    <w:p w14:paraId="19973BE6" w14:textId="77777777" w:rsidR="00FD3273" w:rsidRPr="0040763B" w:rsidRDefault="00FD3273" w:rsidP="00FD3273">
      <w:pPr>
        <w:pStyle w:val="Note-Sub-heading"/>
        <w:rPr>
          <w:spacing w:val="1"/>
        </w:rPr>
      </w:pPr>
      <w:r>
        <w:rPr>
          <w:spacing w:val="1"/>
        </w:rPr>
        <w:t>(c)</w:t>
      </w:r>
      <w:r>
        <w:rPr>
          <w:spacing w:val="1"/>
        </w:rPr>
        <w:tab/>
        <w:t>Financia</w:t>
      </w:r>
      <w:r w:rsidRPr="0040763B">
        <w:rPr>
          <w:spacing w:val="1"/>
        </w:rPr>
        <w:t>l instruments</w:t>
      </w:r>
    </w:p>
    <w:p w14:paraId="59E1B740" w14:textId="77777777" w:rsidR="00FD3273" w:rsidRDefault="00FD3273" w:rsidP="00FD3273">
      <w:pPr>
        <w:pStyle w:val="Note-Sub-heading2"/>
        <w:tabs>
          <w:tab w:val="clear" w:pos="720"/>
        </w:tabs>
      </w:pPr>
      <w:r>
        <w:rPr>
          <w:spacing w:val="2"/>
        </w:rPr>
        <w:t>(i</w:t>
      </w:r>
      <w:r>
        <w:t>)</w:t>
      </w:r>
      <w:r>
        <w:tab/>
        <w:t>Non-derivative</w:t>
      </w:r>
      <w:r>
        <w:rPr>
          <w:spacing w:val="13"/>
        </w:rPr>
        <w:t xml:space="preserve"> </w:t>
      </w:r>
      <w:r>
        <w:t>financial</w:t>
      </w:r>
      <w:r>
        <w:rPr>
          <w:spacing w:val="8"/>
        </w:rPr>
        <w:t xml:space="preserve"> </w:t>
      </w:r>
      <w:r>
        <w:rPr>
          <w:w w:val="101"/>
        </w:rPr>
        <w:t>assets</w:t>
      </w:r>
    </w:p>
    <w:p w14:paraId="43400424" w14:textId="77777777" w:rsidR="00FD3273" w:rsidRPr="00691331" w:rsidRDefault="00FD3273" w:rsidP="00FD3273">
      <w:pPr>
        <w:pStyle w:val="Note-Sub-normal2"/>
      </w:pPr>
      <w:r w:rsidRPr="00691331">
        <w:t>The Company initially recognizes trade and other receivables and other current assets on the date that they are originated.</w:t>
      </w:r>
    </w:p>
    <w:p w14:paraId="09EBB684" w14:textId="77777777" w:rsidR="00FD3273" w:rsidRPr="00691331" w:rsidRDefault="00FD3273" w:rsidP="00FD3273">
      <w:pPr>
        <w:pStyle w:val="Note-Sub-normal2"/>
      </w:pPr>
      <w:r w:rsidRPr="00691331">
        <w:t>The Company derecognizes a financial asset when the contractual rights to the cash flows from the asset expire.</w:t>
      </w:r>
    </w:p>
    <w:p w14:paraId="32C5ACD6" w14:textId="77777777" w:rsidR="00FD3273" w:rsidRPr="00691331" w:rsidRDefault="00FD3273" w:rsidP="00FD3273">
      <w:pPr>
        <w:pStyle w:val="Note-Sub-normal2"/>
      </w:pPr>
      <w:r w:rsidRPr="00691331">
        <w:t xml:space="preserve">The Company classifies non-derivative financial assets as loans and receivables. The Company has not classified any assets or liabilities as held-to-maturity or as available-for-sale. </w:t>
      </w:r>
    </w:p>
    <w:p w14:paraId="64846123" w14:textId="77777777" w:rsidR="00F97A09" w:rsidRDefault="00F97A09" w:rsidP="000159A9">
      <w:pPr>
        <w:pStyle w:val="Note-Sub-normal2"/>
        <w:rPr>
          <w:w w:val="101"/>
        </w:rPr>
      </w:pPr>
    </w:p>
    <w:p w14:paraId="458F5BEC" w14:textId="77777777" w:rsidR="00F97A09" w:rsidRPr="006809F4" w:rsidRDefault="00F97A09" w:rsidP="000159A9">
      <w:pPr>
        <w:pStyle w:val="Note-Sub-normal2"/>
        <w:rPr>
          <w:w w:val="101"/>
        </w:rPr>
      </w:pPr>
    </w:p>
    <w:p w14:paraId="27C64F44" w14:textId="77777777" w:rsidR="00F97A09" w:rsidRDefault="000159A9" w:rsidP="000159A9">
      <w:pPr>
        <w:pStyle w:val="Note-Sub-normal2"/>
        <w:ind w:left="0"/>
        <w:rPr>
          <w:b/>
        </w:rPr>
      </w:pPr>
      <w:r w:rsidRPr="006809F4">
        <w:rPr>
          <w:b/>
        </w:rPr>
        <w:t>3.  Significant a</w:t>
      </w:r>
      <w:r>
        <w:rPr>
          <w:b/>
        </w:rPr>
        <w:t>ccounting policies (continued):</w:t>
      </w:r>
    </w:p>
    <w:p w14:paraId="7DDBB812" w14:textId="120ABFCF" w:rsidR="00F97A09" w:rsidRPr="002E6B04" w:rsidRDefault="002E6B04" w:rsidP="002E6B04">
      <w:pPr>
        <w:pStyle w:val="Note-Sub-heading2"/>
        <w:rPr>
          <w:lang w:val="en-US"/>
        </w:rPr>
      </w:pPr>
      <w:r w:rsidRPr="007653BD">
        <w:rPr>
          <w:lang w:val="en-US"/>
        </w:rPr>
        <w:t>(ii)</w:t>
      </w:r>
      <w:r w:rsidRPr="007653BD">
        <w:rPr>
          <w:lang w:val="en-US"/>
        </w:rPr>
        <w:tab/>
      </w:r>
      <w:r w:rsidRPr="001942B6">
        <w:t>Cash</w:t>
      </w:r>
      <w:r w:rsidRPr="001942B6">
        <w:rPr>
          <w:spacing w:val="4"/>
        </w:rPr>
        <w:t xml:space="preserve"> </w:t>
      </w:r>
      <w:r w:rsidRPr="001942B6">
        <w:t>and</w:t>
      </w:r>
      <w:r w:rsidRPr="001942B6">
        <w:rPr>
          <w:spacing w:val="3"/>
        </w:rPr>
        <w:t xml:space="preserve"> </w:t>
      </w:r>
      <w:r w:rsidRPr="001942B6">
        <w:t>cash</w:t>
      </w:r>
      <w:r w:rsidRPr="001942B6">
        <w:rPr>
          <w:spacing w:val="4"/>
        </w:rPr>
        <w:t xml:space="preserve"> </w:t>
      </w:r>
      <w:r w:rsidRPr="001942B6">
        <w:rPr>
          <w:w w:val="101"/>
        </w:rPr>
        <w:t>equivalents</w:t>
      </w:r>
    </w:p>
    <w:p w14:paraId="7131789B" w14:textId="77777777" w:rsidR="00F97A09" w:rsidRDefault="00F97A09" w:rsidP="00F97A09">
      <w:pPr>
        <w:pStyle w:val="Note-Sub-normal2"/>
        <w:rPr>
          <w:spacing w:val="6"/>
        </w:rPr>
      </w:pPr>
      <w:r>
        <w:rPr>
          <w:spacing w:val="1"/>
        </w:rPr>
        <w:t>Cas</w:t>
      </w:r>
      <w:r>
        <w:t>h</w:t>
      </w:r>
      <w:r>
        <w:rPr>
          <w:spacing w:val="3"/>
        </w:rPr>
        <w:t xml:space="preserve"> </w:t>
      </w:r>
      <w:r>
        <w:rPr>
          <w:spacing w:val="1"/>
        </w:rPr>
        <w:t>an</w:t>
      </w:r>
      <w:r>
        <w:t>d</w:t>
      </w:r>
      <w:r>
        <w:rPr>
          <w:spacing w:val="1"/>
        </w:rPr>
        <w:t xml:space="preserve"> cas</w:t>
      </w:r>
      <w:r>
        <w:t>h</w:t>
      </w:r>
      <w:r>
        <w:rPr>
          <w:spacing w:val="2"/>
        </w:rPr>
        <w:t xml:space="preserve"> </w:t>
      </w:r>
      <w:r>
        <w:rPr>
          <w:spacing w:val="1"/>
        </w:rPr>
        <w:t>equivalent</w:t>
      </w:r>
      <w:r>
        <w:t>s</w:t>
      </w:r>
      <w:r>
        <w:rPr>
          <w:spacing w:val="8"/>
        </w:rPr>
        <w:t xml:space="preserve"> </w:t>
      </w:r>
      <w:r>
        <w:rPr>
          <w:spacing w:val="1"/>
        </w:rPr>
        <w:t>compris</w:t>
      </w:r>
      <w:r>
        <w:t>e</w:t>
      </w:r>
      <w:r>
        <w:rPr>
          <w:spacing w:val="6"/>
        </w:rPr>
        <w:t xml:space="preserve"> </w:t>
      </w:r>
      <w:r>
        <w:rPr>
          <w:spacing w:val="1"/>
        </w:rPr>
        <w:t>cas</w:t>
      </w:r>
      <w:r>
        <w:t>h</w:t>
      </w:r>
      <w:r>
        <w:rPr>
          <w:spacing w:val="2"/>
        </w:rPr>
        <w:t xml:space="preserve"> </w:t>
      </w:r>
      <w:r>
        <w:rPr>
          <w:spacing w:val="1"/>
        </w:rPr>
        <w:t>balance</w:t>
      </w:r>
      <w:r>
        <w:t>s</w:t>
      </w:r>
      <w:r>
        <w:rPr>
          <w:spacing w:val="6"/>
        </w:rPr>
        <w:t>.</w:t>
      </w:r>
    </w:p>
    <w:p w14:paraId="11ECCC12" w14:textId="0F0D6546" w:rsidR="002D6491" w:rsidRPr="007653BD" w:rsidRDefault="002D6491" w:rsidP="00E02F42">
      <w:pPr>
        <w:pStyle w:val="Note-Sub-heading2"/>
        <w:rPr>
          <w:lang w:val="en-US"/>
        </w:rPr>
      </w:pPr>
      <w:r w:rsidRPr="007653BD">
        <w:rPr>
          <w:lang w:val="en-US"/>
        </w:rPr>
        <w:t>(ii</w:t>
      </w:r>
      <w:r w:rsidR="002E6B04">
        <w:rPr>
          <w:lang w:val="en-US"/>
        </w:rPr>
        <w:t>i</w:t>
      </w:r>
      <w:r w:rsidRPr="007653BD">
        <w:rPr>
          <w:lang w:val="en-US"/>
        </w:rPr>
        <w:t>)</w:t>
      </w:r>
      <w:r w:rsidR="00E02F42" w:rsidRPr="007653BD">
        <w:rPr>
          <w:lang w:val="en-US"/>
        </w:rPr>
        <w:tab/>
      </w:r>
      <w:r w:rsidRPr="007653BD">
        <w:rPr>
          <w:lang w:val="en-US"/>
        </w:rPr>
        <w:t>Non-derivative financial</w:t>
      </w:r>
      <w:r w:rsidR="00754101" w:rsidRPr="007653BD">
        <w:rPr>
          <w:lang w:val="en-US"/>
        </w:rPr>
        <w:t xml:space="preserve"> </w:t>
      </w:r>
      <w:r w:rsidR="00330601" w:rsidRPr="007653BD">
        <w:rPr>
          <w:lang w:val="en-US"/>
        </w:rPr>
        <w:t>liabilities</w:t>
      </w:r>
    </w:p>
    <w:p w14:paraId="445D8875" w14:textId="77777777" w:rsidR="006609F2" w:rsidRDefault="006609F2" w:rsidP="00E02F42">
      <w:pPr>
        <w:pStyle w:val="Note-Sub-normal2"/>
      </w:pPr>
      <w:r>
        <w:t>The</w:t>
      </w:r>
      <w:r>
        <w:rPr>
          <w:spacing w:val="23"/>
        </w:rPr>
        <w:t xml:space="preserve"> </w:t>
      </w:r>
      <w:r>
        <w:t>Company</w:t>
      </w:r>
      <w:r>
        <w:rPr>
          <w:spacing w:val="30"/>
        </w:rPr>
        <w:t xml:space="preserve"> </w:t>
      </w:r>
      <w:r>
        <w:t>derecognizes</w:t>
      </w:r>
      <w:r>
        <w:rPr>
          <w:spacing w:val="27"/>
        </w:rPr>
        <w:t xml:space="preserve"> </w:t>
      </w:r>
      <w:r>
        <w:t>a</w:t>
      </w:r>
      <w:r>
        <w:rPr>
          <w:spacing w:val="18"/>
        </w:rPr>
        <w:t xml:space="preserve"> </w:t>
      </w:r>
      <w:r>
        <w:rPr>
          <w:spacing w:val="1"/>
        </w:rPr>
        <w:t>financia</w:t>
      </w:r>
      <w:r>
        <w:t>l</w:t>
      </w:r>
      <w:r>
        <w:rPr>
          <w:spacing w:val="25"/>
        </w:rPr>
        <w:t xml:space="preserve"> </w:t>
      </w:r>
      <w:r>
        <w:rPr>
          <w:spacing w:val="2"/>
        </w:rPr>
        <w:t>liabilit</w:t>
      </w:r>
      <w:r>
        <w:t>y</w:t>
      </w:r>
      <w:r>
        <w:rPr>
          <w:spacing w:val="24"/>
        </w:rPr>
        <w:t xml:space="preserve"> </w:t>
      </w:r>
      <w:r>
        <w:t>when</w:t>
      </w:r>
      <w:r>
        <w:rPr>
          <w:spacing w:val="19"/>
        </w:rPr>
        <w:t xml:space="preserve"> </w:t>
      </w:r>
      <w:r>
        <w:rPr>
          <w:spacing w:val="2"/>
        </w:rPr>
        <w:t>it</w:t>
      </w:r>
      <w:r>
        <w:t>s</w:t>
      </w:r>
      <w:r>
        <w:rPr>
          <w:spacing w:val="21"/>
        </w:rPr>
        <w:t xml:space="preserve"> </w:t>
      </w:r>
      <w:r>
        <w:t>contractual</w:t>
      </w:r>
      <w:r>
        <w:rPr>
          <w:spacing w:val="27"/>
        </w:rPr>
        <w:t xml:space="preserve"> </w:t>
      </w:r>
      <w:r>
        <w:rPr>
          <w:spacing w:val="1"/>
        </w:rPr>
        <w:t>obligation</w:t>
      </w:r>
      <w:r>
        <w:t>s</w:t>
      </w:r>
      <w:r>
        <w:rPr>
          <w:spacing w:val="27"/>
        </w:rPr>
        <w:t xml:space="preserve"> </w:t>
      </w:r>
      <w:r>
        <w:rPr>
          <w:spacing w:val="-1"/>
        </w:rPr>
        <w:t>ar</w:t>
      </w:r>
      <w:r>
        <w:t>e</w:t>
      </w:r>
      <w:r>
        <w:rPr>
          <w:spacing w:val="19"/>
        </w:rPr>
        <w:t xml:space="preserve"> </w:t>
      </w:r>
      <w:r>
        <w:t>discharged</w:t>
      </w:r>
      <w:r>
        <w:rPr>
          <w:spacing w:val="26"/>
        </w:rPr>
        <w:t xml:space="preserve"> </w:t>
      </w:r>
      <w:r>
        <w:rPr>
          <w:spacing w:val="1"/>
        </w:rPr>
        <w:t>o</w:t>
      </w:r>
      <w:r>
        <w:t>r</w:t>
      </w:r>
      <w:r>
        <w:rPr>
          <w:spacing w:val="20"/>
        </w:rPr>
        <w:t xml:space="preserve"> </w:t>
      </w:r>
      <w:r>
        <w:rPr>
          <w:spacing w:val="-1"/>
        </w:rPr>
        <w:t>cancelle</w:t>
      </w:r>
      <w:r>
        <w:t>d</w:t>
      </w:r>
      <w:r>
        <w:rPr>
          <w:spacing w:val="24"/>
        </w:rPr>
        <w:t xml:space="preserve"> </w:t>
      </w:r>
      <w:r>
        <w:rPr>
          <w:spacing w:val="-1"/>
          <w:w w:val="101"/>
        </w:rPr>
        <w:t xml:space="preserve">or </w:t>
      </w:r>
      <w:r>
        <w:rPr>
          <w:w w:val="101"/>
        </w:rPr>
        <w:t>expire.</w:t>
      </w:r>
    </w:p>
    <w:p w14:paraId="5348DA01" w14:textId="77777777" w:rsidR="006609F2" w:rsidRDefault="006609F2" w:rsidP="00E02F42">
      <w:pPr>
        <w:pStyle w:val="Note-Sub-normal2"/>
        <w:rPr>
          <w:spacing w:val="1"/>
        </w:rPr>
      </w:pPr>
      <w:r w:rsidRPr="00754101">
        <w:rPr>
          <w:spacing w:val="1"/>
        </w:rPr>
        <w:t>The Company has th</w:t>
      </w:r>
      <w:r w:rsidR="00754101" w:rsidRPr="00754101">
        <w:rPr>
          <w:spacing w:val="1"/>
        </w:rPr>
        <w:t xml:space="preserve">e </w:t>
      </w:r>
      <w:r>
        <w:rPr>
          <w:spacing w:val="1"/>
        </w:rPr>
        <w:t>followin</w:t>
      </w:r>
      <w:r w:rsidRPr="00754101">
        <w:rPr>
          <w:spacing w:val="1"/>
        </w:rPr>
        <w:t xml:space="preserve">g non-derivative </w:t>
      </w:r>
      <w:r>
        <w:rPr>
          <w:spacing w:val="1"/>
        </w:rPr>
        <w:t>financia</w:t>
      </w:r>
      <w:r w:rsidRPr="00754101">
        <w:rPr>
          <w:spacing w:val="1"/>
        </w:rPr>
        <w:t xml:space="preserve">l </w:t>
      </w:r>
      <w:r>
        <w:rPr>
          <w:spacing w:val="1"/>
        </w:rPr>
        <w:t>liabilitie</w:t>
      </w:r>
      <w:r w:rsidRPr="00754101">
        <w:rPr>
          <w:spacing w:val="1"/>
        </w:rPr>
        <w:t>s which are classified as other financial liabilities: accounts payable and accrued liabilities.</w:t>
      </w:r>
    </w:p>
    <w:p w14:paraId="2CE0289D" w14:textId="77777777" w:rsidR="00F62693" w:rsidRDefault="002E6B04" w:rsidP="00067108">
      <w:pPr>
        <w:pStyle w:val="Note-Sub-heading2"/>
        <w:rPr>
          <w:lang w:val="en-US"/>
        </w:rPr>
      </w:pPr>
      <w:r>
        <w:rPr>
          <w:lang w:val="en-US"/>
        </w:rPr>
        <w:t>(iv</w:t>
      </w:r>
      <w:r w:rsidR="00F27B77">
        <w:rPr>
          <w:lang w:val="en-US"/>
        </w:rPr>
        <w:t>)</w:t>
      </w:r>
      <w:r w:rsidR="00F27B77">
        <w:rPr>
          <w:lang w:val="en-US"/>
        </w:rPr>
        <w:tab/>
        <w:t>Convertible note</w:t>
      </w:r>
    </w:p>
    <w:p w14:paraId="2E82D71E" w14:textId="77777777" w:rsidR="00C965A6" w:rsidRPr="00DC34B6" w:rsidRDefault="00FD3273" w:rsidP="00DC34B6">
      <w:pPr>
        <w:pStyle w:val="Note-Sub-normal2"/>
        <w:rPr>
          <w:w w:val="101"/>
        </w:rPr>
      </w:pPr>
      <w:r w:rsidRPr="00691331">
        <w:t xml:space="preserve">The proceeds received on the issuance of the Company's convertible redeemable note and detachable warrants are allocated into their liability and equity components. The amount initially attributed to the debt component is equal to the discounted cash flows using a market rate of interest that would be payable on a similar debt instrument that does not include an option to convert or detachable warrants.  It is accounted for as a financial liability measured at amortized cost until extinguished on conversion or maturity of the note.  The remainder of the proceeds is allocated to an equity component.  The value of the equity component is allocated between the conversion option and the detachable warrants using the </w:t>
      </w:r>
      <w:r w:rsidRPr="002E04D2">
        <w:t xml:space="preserve">fair value determined at the date of measurement using the Black Scholes option pricing model on a pro-rata basis. </w:t>
      </w:r>
      <w:r w:rsidRPr="00691331">
        <w:t xml:space="preserve"> The conversion option is recognized in the "Convertible note option" within shareholders' equity, net of income tax effects and the detachable warrants are classified in “Warrants” within shareholders’ equity, net of income tax effects. Incrementa</w:t>
      </w:r>
      <w:r w:rsidRPr="002E04D2">
        <w:t>l</w:t>
      </w:r>
      <w:r w:rsidRPr="00691331">
        <w:t xml:space="preserve"> </w:t>
      </w:r>
      <w:r w:rsidRPr="002E04D2">
        <w:t>costs</w:t>
      </w:r>
      <w:r w:rsidRPr="00691331">
        <w:t xml:space="preserve"> </w:t>
      </w:r>
      <w:r w:rsidRPr="002E04D2">
        <w:t>directly</w:t>
      </w:r>
      <w:r w:rsidRPr="00691331">
        <w:t xml:space="preserve"> </w:t>
      </w:r>
      <w:r w:rsidRPr="002E04D2">
        <w:t>attributable</w:t>
      </w:r>
      <w:r w:rsidRPr="00691331">
        <w:t xml:space="preserve"> t</w:t>
      </w:r>
      <w:r w:rsidRPr="002E04D2">
        <w:t>o</w:t>
      </w:r>
      <w:r w:rsidRPr="00691331">
        <w:t xml:space="preserve"> th</w:t>
      </w:r>
      <w:r w:rsidRPr="002E04D2">
        <w:t>e</w:t>
      </w:r>
      <w:r w:rsidRPr="00691331">
        <w:t xml:space="preserve"> issu</w:t>
      </w:r>
      <w:r w:rsidRPr="002E04D2">
        <w:t>e</w:t>
      </w:r>
      <w:r w:rsidRPr="00691331">
        <w:t xml:space="preserve"> o</w:t>
      </w:r>
      <w:r w:rsidRPr="002E04D2">
        <w:t xml:space="preserve">f </w:t>
      </w:r>
      <w:r w:rsidRPr="00691331">
        <w:t xml:space="preserve">convertible debt </w:t>
      </w:r>
      <w:r w:rsidRPr="002E04D2">
        <w:t>are</w:t>
      </w:r>
      <w:r w:rsidRPr="00691331">
        <w:t xml:space="preserve"> </w:t>
      </w:r>
      <w:r w:rsidRPr="002E04D2">
        <w:t>recognized</w:t>
      </w:r>
      <w:r w:rsidRPr="00691331">
        <w:t xml:space="preserve"> </w:t>
      </w:r>
      <w:r w:rsidRPr="002E04D2">
        <w:t>as</w:t>
      </w:r>
      <w:r w:rsidRPr="00691331">
        <w:t xml:space="preserve"> </w:t>
      </w:r>
      <w:r w:rsidRPr="002E04D2">
        <w:t>a</w:t>
      </w:r>
      <w:r w:rsidRPr="00691331">
        <w:t xml:space="preserve"> </w:t>
      </w:r>
      <w:r w:rsidRPr="002E04D2">
        <w:t>deduction</w:t>
      </w:r>
      <w:r w:rsidRPr="00691331">
        <w:t xml:space="preserve"> </w:t>
      </w:r>
      <w:r w:rsidRPr="002E04D2">
        <w:t>from</w:t>
      </w:r>
      <w:r w:rsidRPr="00691331">
        <w:t xml:space="preserve"> the liability and </w:t>
      </w:r>
      <w:r w:rsidRPr="002E04D2">
        <w:t>equity components,</w:t>
      </w:r>
      <w:r w:rsidRPr="00691331">
        <w:t xml:space="preserve"> </w:t>
      </w:r>
      <w:r w:rsidRPr="002E04D2">
        <w:t>net</w:t>
      </w:r>
      <w:r w:rsidRPr="00691331">
        <w:t xml:space="preserve"> </w:t>
      </w:r>
      <w:r w:rsidRPr="002E04D2">
        <w:t>of</w:t>
      </w:r>
      <w:r w:rsidRPr="00691331">
        <w:t xml:space="preserve"> </w:t>
      </w:r>
      <w:r w:rsidRPr="002E04D2">
        <w:t>any</w:t>
      </w:r>
      <w:r w:rsidRPr="00691331">
        <w:t xml:space="preserve"> </w:t>
      </w:r>
      <w:r w:rsidRPr="002E04D2">
        <w:t>tax</w:t>
      </w:r>
      <w:r w:rsidR="00F359CF">
        <w:t xml:space="preserve"> effects</w:t>
      </w:r>
      <w:r w:rsidR="00C965A6" w:rsidRPr="002E04D2">
        <w:rPr>
          <w:w w:val="101"/>
        </w:rPr>
        <w:t>.</w:t>
      </w:r>
    </w:p>
    <w:p w14:paraId="6C8369B2" w14:textId="77777777" w:rsidR="006609F2" w:rsidRPr="002B207F" w:rsidRDefault="002B207F" w:rsidP="002B207F">
      <w:pPr>
        <w:pStyle w:val="Note-Sub-heading2"/>
        <w:ind w:left="0"/>
        <w:rPr>
          <w:lang w:val="en-US"/>
        </w:rPr>
      </w:pPr>
      <w:r>
        <w:rPr>
          <w:lang w:val="en-US"/>
        </w:rPr>
        <w:tab/>
      </w:r>
      <w:r w:rsidR="002E6B04">
        <w:rPr>
          <w:lang w:val="en-US"/>
        </w:rPr>
        <w:t>(</w:t>
      </w:r>
      <w:r w:rsidRPr="002B207F">
        <w:rPr>
          <w:lang w:val="en-US"/>
        </w:rPr>
        <w:t>v</w:t>
      </w:r>
      <w:r w:rsidR="006609F2" w:rsidRPr="002B207F">
        <w:rPr>
          <w:lang w:val="en-US"/>
        </w:rPr>
        <w:t>)</w:t>
      </w:r>
      <w:r w:rsidR="00E02F42" w:rsidRPr="002B207F">
        <w:rPr>
          <w:lang w:val="en-US"/>
        </w:rPr>
        <w:tab/>
      </w:r>
      <w:r w:rsidR="006609F2" w:rsidRPr="002B207F">
        <w:rPr>
          <w:lang w:val="en-US"/>
        </w:rPr>
        <w:t>Share capital</w:t>
      </w:r>
    </w:p>
    <w:p w14:paraId="087ABCAA" w14:textId="77777777" w:rsidR="00FD3273" w:rsidRDefault="00FD3273" w:rsidP="00FD3273">
      <w:pPr>
        <w:pStyle w:val="Note-Sub-normal2"/>
      </w:pPr>
      <w:r w:rsidRPr="00691331">
        <w:t>Commo</w:t>
      </w:r>
      <w:r>
        <w:t>n</w:t>
      </w:r>
      <w:r w:rsidRPr="00691331">
        <w:t xml:space="preserve"> </w:t>
      </w:r>
      <w:r>
        <w:t>voting</w:t>
      </w:r>
      <w:r w:rsidRPr="00691331">
        <w:t xml:space="preserve"> share</w:t>
      </w:r>
      <w:r>
        <w:t>s</w:t>
      </w:r>
      <w:r w:rsidRPr="00691331">
        <w:t xml:space="preserve"> ar</w:t>
      </w:r>
      <w:r>
        <w:t>e</w:t>
      </w:r>
      <w:r w:rsidRPr="00691331">
        <w:t xml:space="preserve"> </w:t>
      </w:r>
      <w:r>
        <w:t>classified</w:t>
      </w:r>
      <w:r w:rsidRPr="00691331">
        <w:t xml:space="preserve"> </w:t>
      </w:r>
      <w:r>
        <w:t>as</w:t>
      </w:r>
      <w:r w:rsidRPr="00691331">
        <w:t xml:space="preserve"> </w:t>
      </w:r>
      <w:r>
        <w:t xml:space="preserve">equity. </w:t>
      </w:r>
      <w:r w:rsidRPr="00691331">
        <w:t>Incrementa</w:t>
      </w:r>
      <w:r>
        <w:t>l</w:t>
      </w:r>
      <w:r w:rsidRPr="00691331">
        <w:t xml:space="preserve"> </w:t>
      </w:r>
      <w:r>
        <w:t>costs</w:t>
      </w:r>
      <w:r w:rsidRPr="00691331">
        <w:t xml:space="preserve"> </w:t>
      </w:r>
      <w:r>
        <w:t>directly</w:t>
      </w:r>
      <w:r w:rsidRPr="00691331">
        <w:t xml:space="preserve"> </w:t>
      </w:r>
      <w:r>
        <w:t>attributable</w:t>
      </w:r>
      <w:r w:rsidRPr="00691331">
        <w:t xml:space="preserve"> t</w:t>
      </w:r>
      <w:r>
        <w:t>o</w:t>
      </w:r>
      <w:r w:rsidRPr="00691331">
        <w:t xml:space="preserve"> th</w:t>
      </w:r>
      <w:r>
        <w:t>e</w:t>
      </w:r>
      <w:r w:rsidRPr="00691331">
        <w:t xml:space="preserve"> issu</w:t>
      </w:r>
      <w:r>
        <w:t>e</w:t>
      </w:r>
      <w:r w:rsidRPr="00691331">
        <w:t xml:space="preserve"> o</w:t>
      </w:r>
      <w:r>
        <w:t xml:space="preserve">f </w:t>
      </w:r>
      <w:r w:rsidRPr="00691331">
        <w:t xml:space="preserve">common </w:t>
      </w:r>
      <w:r>
        <w:t>voting</w:t>
      </w:r>
      <w:r w:rsidRPr="00691331">
        <w:t xml:space="preserve"> </w:t>
      </w:r>
      <w:r>
        <w:t>shares</w:t>
      </w:r>
      <w:r w:rsidRPr="00691331">
        <w:t xml:space="preserve"> </w:t>
      </w:r>
      <w:r>
        <w:t>are</w:t>
      </w:r>
      <w:r w:rsidRPr="00691331">
        <w:t xml:space="preserve"> </w:t>
      </w:r>
      <w:r>
        <w:t>recognized</w:t>
      </w:r>
      <w:r w:rsidRPr="00691331">
        <w:t xml:space="preserve"> </w:t>
      </w:r>
      <w:r>
        <w:t>as</w:t>
      </w:r>
      <w:r w:rsidRPr="00691331">
        <w:t xml:space="preserve"> </w:t>
      </w:r>
      <w:r>
        <w:t>a</w:t>
      </w:r>
      <w:r w:rsidRPr="00691331">
        <w:t xml:space="preserve"> </w:t>
      </w:r>
      <w:r>
        <w:t>deduction</w:t>
      </w:r>
      <w:r w:rsidRPr="00691331">
        <w:t xml:space="preserve"> </w:t>
      </w:r>
      <w:r>
        <w:t>from</w:t>
      </w:r>
      <w:r w:rsidRPr="00691331">
        <w:t xml:space="preserve"> </w:t>
      </w:r>
      <w:r>
        <w:t>equity,</w:t>
      </w:r>
      <w:r w:rsidRPr="00691331">
        <w:t xml:space="preserve"> </w:t>
      </w:r>
      <w:r>
        <w:t>net</w:t>
      </w:r>
      <w:r w:rsidRPr="00691331">
        <w:t xml:space="preserve"> </w:t>
      </w:r>
      <w:r>
        <w:t>of</w:t>
      </w:r>
      <w:r w:rsidRPr="00691331">
        <w:t xml:space="preserve"> </w:t>
      </w:r>
      <w:r>
        <w:t>any</w:t>
      </w:r>
      <w:r w:rsidRPr="00691331">
        <w:t xml:space="preserve"> </w:t>
      </w:r>
      <w:r>
        <w:t>tax</w:t>
      </w:r>
      <w:r w:rsidRPr="00691331">
        <w:t xml:space="preserve"> effects.</w:t>
      </w:r>
    </w:p>
    <w:p w14:paraId="67A487EB" w14:textId="77777777" w:rsidR="003B1595" w:rsidRPr="00754101" w:rsidRDefault="002E6B04" w:rsidP="00FD3273">
      <w:pPr>
        <w:pStyle w:val="Note-Sub-heading2"/>
      </w:pPr>
      <w:r>
        <w:t>(</w:t>
      </w:r>
      <w:r w:rsidR="002D6491">
        <w:t>v</w:t>
      </w:r>
      <w:r>
        <w:t>i</w:t>
      </w:r>
      <w:r w:rsidR="002D6491">
        <w:t>)</w:t>
      </w:r>
      <w:r w:rsidR="00E02F42">
        <w:tab/>
      </w:r>
      <w:r w:rsidR="003B1595" w:rsidRPr="00754101">
        <w:t>Warrants</w:t>
      </w:r>
    </w:p>
    <w:p w14:paraId="2DFF2B1F" w14:textId="77777777" w:rsidR="00FD3273" w:rsidRPr="00691331" w:rsidRDefault="00FD3273" w:rsidP="00FD3273">
      <w:pPr>
        <w:pStyle w:val="Note-Sub-normal2"/>
      </w:pPr>
      <w:r>
        <w:t>W</w:t>
      </w:r>
      <w:r w:rsidRPr="00691331">
        <w:t>arrant</w:t>
      </w:r>
      <w:r>
        <w:t>s</w:t>
      </w:r>
      <w:r w:rsidRPr="00691331">
        <w:t xml:space="preserve"> ar</w:t>
      </w:r>
      <w:r>
        <w:t xml:space="preserve">e </w:t>
      </w:r>
      <w:r w:rsidRPr="00691331">
        <w:t>classifie</w:t>
      </w:r>
      <w:r>
        <w:t>d</w:t>
      </w:r>
      <w:r w:rsidRPr="00691331">
        <w:t xml:space="preserve"> a</w:t>
      </w:r>
      <w:r>
        <w:t xml:space="preserve">s </w:t>
      </w:r>
      <w:r w:rsidRPr="00691331">
        <w:t>equity</w:t>
      </w:r>
      <w:r>
        <w:t xml:space="preserve">. </w:t>
      </w:r>
      <w:r w:rsidRPr="00691331">
        <w:t>Incrementa</w:t>
      </w:r>
      <w:r>
        <w:t>l</w:t>
      </w:r>
      <w:r w:rsidRPr="00691331">
        <w:t xml:space="preserve"> cost</w:t>
      </w:r>
      <w:r>
        <w:t>s</w:t>
      </w:r>
      <w:r w:rsidRPr="00691331">
        <w:t xml:space="preserve"> directl</w:t>
      </w:r>
      <w:r>
        <w:t>y</w:t>
      </w:r>
      <w:r w:rsidRPr="00691331">
        <w:t xml:space="preserve"> attributabl</w:t>
      </w:r>
      <w:r>
        <w:t>e</w:t>
      </w:r>
      <w:r w:rsidRPr="00691331">
        <w:t xml:space="preserve"> t</w:t>
      </w:r>
      <w:r>
        <w:t xml:space="preserve">o </w:t>
      </w:r>
      <w:r w:rsidRPr="00691331">
        <w:t>th</w:t>
      </w:r>
      <w:r>
        <w:t>e</w:t>
      </w:r>
      <w:r w:rsidRPr="00691331">
        <w:t xml:space="preserve"> exercis</w:t>
      </w:r>
      <w:r>
        <w:t>e</w:t>
      </w:r>
      <w:r w:rsidRPr="00691331">
        <w:t xml:space="preserve"> o</w:t>
      </w:r>
      <w:r>
        <w:t xml:space="preserve">f </w:t>
      </w:r>
      <w:r w:rsidRPr="00691331">
        <w:t>warrant</w:t>
      </w:r>
      <w:r>
        <w:t>s</w:t>
      </w:r>
      <w:r w:rsidRPr="00691331">
        <w:t xml:space="preserve"> an</w:t>
      </w:r>
      <w:r>
        <w:t>d</w:t>
      </w:r>
      <w:r w:rsidRPr="00691331">
        <w:t xml:space="preserve"> related </w:t>
      </w:r>
      <w:r>
        <w:t>issue</w:t>
      </w:r>
      <w:r w:rsidRPr="00691331">
        <w:t xml:space="preserve"> </w:t>
      </w:r>
      <w:r>
        <w:t>of</w:t>
      </w:r>
      <w:r w:rsidRPr="00691331">
        <w:t xml:space="preserve"> </w:t>
      </w:r>
      <w:r>
        <w:t>common</w:t>
      </w:r>
      <w:r w:rsidRPr="00691331">
        <w:t xml:space="preserve"> </w:t>
      </w:r>
      <w:r>
        <w:t>voting</w:t>
      </w:r>
      <w:r w:rsidRPr="00691331">
        <w:t xml:space="preserve"> </w:t>
      </w:r>
      <w:r>
        <w:t>shares</w:t>
      </w:r>
      <w:r w:rsidRPr="00691331">
        <w:t xml:space="preserve"> </w:t>
      </w:r>
      <w:r>
        <w:t>are</w:t>
      </w:r>
      <w:r w:rsidRPr="00691331">
        <w:t xml:space="preserve"> </w:t>
      </w:r>
      <w:r>
        <w:t>recognized as</w:t>
      </w:r>
      <w:r w:rsidRPr="00691331">
        <w:t xml:space="preserve"> </w:t>
      </w:r>
      <w:r>
        <w:t>a</w:t>
      </w:r>
      <w:r w:rsidRPr="00691331">
        <w:t xml:space="preserve"> </w:t>
      </w:r>
      <w:r>
        <w:t>deduction</w:t>
      </w:r>
      <w:r w:rsidRPr="00691331">
        <w:t xml:space="preserve"> </w:t>
      </w:r>
      <w:r>
        <w:t>from</w:t>
      </w:r>
      <w:r w:rsidRPr="00691331">
        <w:t xml:space="preserve"> </w:t>
      </w:r>
      <w:r>
        <w:t>equity,</w:t>
      </w:r>
      <w:r w:rsidRPr="00691331">
        <w:t xml:space="preserve"> </w:t>
      </w:r>
      <w:r>
        <w:t>net</w:t>
      </w:r>
      <w:r w:rsidRPr="00691331">
        <w:t xml:space="preserve"> </w:t>
      </w:r>
      <w:r>
        <w:t>of</w:t>
      </w:r>
      <w:r w:rsidRPr="00691331">
        <w:t xml:space="preserve"> </w:t>
      </w:r>
      <w:r>
        <w:t>any</w:t>
      </w:r>
      <w:r w:rsidRPr="00691331">
        <w:t xml:space="preserve"> </w:t>
      </w:r>
      <w:r>
        <w:t>tax</w:t>
      </w:r>
      <w:r w:rsidRPr="00691331">
        <w:t xml:space="preserve"> effects.</w:t>
      </w:r>
    </w:p>
    <w:p w14:paraId="31261B8E" w14:textId="77777777" w:rsidR="00F97A09" w:rsidRDefault="00F97A09" w:rsidP="00E02F42">
      <w:pPr>
        <w:pStyle w:val="Note-Sub-normal2"/>
        <w:rPr>
          <w:w w:val="101"/>
        </w:rPr>
      </w:pPr>
    </w:p>
    <w:p w14:paraId="1DFBE184" w14:textId="77777777" w:rsidR="00F97A09" w:rsidRDefault="00F97A09" w:rsidP="00F97A09">
      <w:pPr>
        <w:pStyle w:val="Note-Sub-normal2"/>
        <w:ind w:left="288"/>
        <w:rPr>
          <w:b/>
        </w:rPr>
      </w:pPr>
      <w:r w:rsidRPr="00F97A09">
        <w:rPr>
          <w:b/>
          <w:spacing w:val="1"/>
        </w:rPr>
        <w:t>(d</w:t>
      </w:r>
      <w:r w:rsidRPr="00F97A09">
        <w:rPr>
          <w:b/>
        </w:rPr>
        <w:t>)</w:t>
      </w:r>
      <w:r>
        <w:rPr>
          <w:b/>
        </w:rPr>
        <w:t xml:space="preserve">  Inventory</w:t>
      </w:r>
    </w:p>
    <w:p w14:paraId="63075101" w14:textId="77777777" w:rsidR="00F97A09" w:rsidRPr="00F97A09" w:rsidRDefault="00FD3273" w:rsidP="00F97A09">
      <w:pPr>
        <w:pStyle w:val="Note-Sub-normal2"/>
        <w:ind w:left="720"/>
      </w:pPr>
      <w:r w:rsidRPr="00F97A09">
        <w:t>Inventories</w:t>
      </w:r>
      <w:r>
        <w:t xml:space="preserve"> are stated at the lower of cost and net realizable value. Cost is determined using the first-in, first-out (FIFO) method. The cost of finished goods and work in progress comprises raw materials, direct labour and other direct costs. Net realizable value is the estimated selling price in the ordinary course of business less the estimated costs of completion and selling expenses. Obsolete, redundant and slow moving inventories are identified and written down to net realizable values</w:t>
      </w:r>
      <w:r w:rsidR="00F97A09">
        <w:t xml:space="preserve">.      </w:t>
      </w:r>
    </w:p>
    <w:p w14:paraId="2ABB7B37" w14:textId="77777777" w:rsidR="00F97A09" w:rsidRPr="00F97A09" w:rsidRDefault="00F97A09" w:rsidP="00554A59">
      <w:pPr>
        <w:pStyle w:val="Note-Sub-normal2"/>
        <w:rPr>
          <w:b/>
          <w:w w:val="101"/>
        </w:rPr>
      </w:pPr>
    </w:p>
    <w:p w14:paraId="7572BD60" w14:textId="77777777" w:rsidR="003B1595" w:rsidRDefault="003B1595" w:rsidP="0032270E">
      <w:pPr>
        <w:pStyle w:val="Note-Sub-heading"/>
      </w:pPr>
      <w:r>
        <w:rPr>
          <w:spacing w:val="1"/>
        </w:rPr>
        <w:t>(</w:t>
      </w:r>
      <w:r w:rsidR="00F97A09">
        <w:rPr>
          <w:spacing w:val="1"/>
        </w:rPr>
        <w:t>e</w:t>
      </w:r>
      <w:r>
        <w:t>)</w:t>
      </w:r>
      <w:r w:rsidR="0032270E">
        <w:rPr>
          <w:spacing w:val="-48"/>
        </w:rPr>
        <w:tab/>
      </w:r>
      <w:r>
        <w:t>Property</w:t>
      </w:r>
      <w:r>
        <w:rPr>
          <w:spacing w:val="8"/>
        </w:rPr>
        <w:t xml:space="preserve"> </w:t>
      </w:r>
      <w:r>
        <w:t>and</w:t>
      </w:r>
      <w:r>
        <w:rPr>
          <w:spacing w:val="4"/>
        </w:rPr>
        <w:t xml:space="preserve"> </w:t>
      </w:r>
      <w:r>
        <w:rPr>
          <w:w w:val="101"/>
        </w:rPr>
        <w:t>equipment</w:t>
      </w:r>
    </w:p>
    <w:p w14:paraId="4DD80841" w14:textId="77777777" w:rsidR="003B1595" w:rsidRDefault="003B1595" w:rsidP="00E02F42">
      <w:pPr>
        <w:pStyle w:val="Note-Sub-heading2"/>
      </w:pPr>
      <w:r>
        <w:rPr>
          <w:spacing w:val="2"/>
        </w:rPr>
        <w:t>(i</w:t>
      </w:r>
      <w:r>
        <w:t>)</w:t>
      </w:r>
      <w:r>
        <w:tab/>
        <w:t>Recognition</w:t>
      </w:r>
      <w:r>
        <w:rPr>
          <w:spacing w:val="11"/>
        </w:rPr>
        <w:t xml:space="preserve"> </w:t>
      </w:r>
      <w:r>
        <w:t>and</w:t>
      </w:r>
      <w:r>
        <w:rPr>
          <w:spacing w:val="4"/>
        </w:rPr>
        <w:t xml:space="preserve"> </w:t>
      </w:r>
      <w:r>
        <w:rPr>
          <w:w w:val="101"/>
        </w:rPr>
        <w:t>measurement</w:t>
      </w:r>
    </w:p>
    <w:p w14:paraId="73C19388" w14:textId="77777777" w:rsidR="00FD3273" w:rsidRPr="00691331" w:rsidRDefault="00FD3273" w:rsidP="00FD3273">
      <w:pPr>
        <w:pStyle w:val="Note-Sub-normal2"/>
      </w:pPr>
      <w:r w:rsidRPr="00691331">
        <w:t>Item</w:t>
      </w:r>
      <w:r>
        <w:t>s</w:t>
      </w:r>
      <w:r w:rsidRPr="00691331">
        <w:t xml:space="preserve"> o</w:t>
      </w:r>
      <w:r>
        <w:t>f</w:t>
      </w:r>
      <w:r w:rsidRPr="00691331">
        <w:t xml:space="preserve"> </w:t>
      </w:r>
      <w:r>
        <w:t>property</w:t>
      </w:r>
      <w:r w:rsidRPr="00691331">
        <w:t xml:space="preserve"> an</w:t>
      </w:r>
      <w:r>
        <w:t>d</w:t>
      </w:r>
      <w:r w:rsidRPr="00691331">
        <w:t xml:space="preserve"> </w:t>
      </w:r>
      <w:r>
        <w:t>equipment</w:t>
      </w:r>
      <w:r w:rsidRPr="00691331">
        <w:t xml:space="preserve"> ar</w:t>
      </w:r>
      <w:r>
        <w:t>e</w:t>
      </w:r>
      <w:r w:rsidRPr="00691331">
        <w:t xml:space="preserve"> measure</w:t>
      </w:r>
      <w:r>
        <w:t>d</w:t>
      </w:r>
      <w:r w:rsidRPr="00691331">
        <w:t xml:space="preserve"> a</w:t>
      </w:r>
      <w:r>
        <w:t>t cost</w:t>
      </w:r>
      <w:r w:rsidRPr="00691331">
        <w:t xml:space="preserve"> les</w:t>
      </w:r>
      <w:r>
        <w:t>s</w:t>
      </w:r>
      <w:r w:rsidRPr="00691331">
        <w:t xml:space="preserve"> </w:t>
      </w:r>
      <w:r>
        <w:t>accumulated</w:t>
      </w:r>
      <w:r w:rsidRPr="00691331">
        <w:t xml:space="preserve"> </w:t>
      </w:r>
      <w:r>
        <w:t>depreciation</w:t>
      </w:r>
      <w:r w:rsidRPr="00691331">
        <w:t xml:space="preserve"> an</w:t>
      </w:r>
      <w:r>
        <w:t xml:space="preserve">d </w:t>
      </w:r>
      <w:r w:rsidRPr="00691331">
        <w:t>accumulated impairmen</w:t>
      </w:r>
      <w:r>
        <w:t>t</w:t>
      </w:r>
      <w:r w:rsidRPr="00691331">
        <w:t xml:space="preserve"> </w:t>
      </w:r>
      <w:r>
        <w:t xml:space="preserve">losses. </w:t>
      </w:r>
      <w:r w:rsidRPr="00691331">
        <w:t xml:space="preserve"> W</w:t>
      </w:r>
      <w:r>
        <w:t>hen</w:t>
      </w:r>
      <w:r w:rsidRPr="00691331">
        <w:t xml:space="preserve"> </w:t>
      </w:r>
      <w:r>
        <w:t>parts</w:t>
      </w:r>
      <w:r w:rsidRPr="00691331">
        <w:t xml:space="preserve"> o</w:t>
      </w:r>
      <w:r>
        <w:t xml:space="preserve">f </w:t>
      </w:r>
      <w:r w:rsidRPr="00691331">
        <w:t>a</w:t>
      </w:r>
      <w:r>
        <w:t xml:space="preserve">n </w:t>
      </w:r>
      <w:r w:rsidRPr="00691331">
        <w:t>ite</w:t>
      </w:r>
      <w:r>
        <w:t>m</w:t>
      </w:r>
      <w:r w:rsidRPr="00691331">
        <w:t xml:space="preserve"> o</w:t>
      </w:r>
      <w:r>
        <w:t>f property</w:t>
      </w:r>
      <w:r w:rsidRPr="00691331">
        <w:t xml:space="preserve"> an</w:t>
      </w:r>
      <w:r>
        <w:t>d</w:t>
      </w:r>
      <w:r w:rsidRPr="00691331">
        <w:t xml:space="preserve"> </w:t>
      </w:r>
      <w:r>
        <w:t>equipment</w:t>
      </w:r>
      <w:r w:rsidRPr="00691331">
        <w:t xml:space="preserve"> </w:t>
      </w:r>
      <w:r>
        <w:t>have</w:t>
      </w:r>
      <w:r w:rsidRPr="00691331">
        <w:t xml:space="preserve"> </w:t>
      </w:r>
      <w:r>
        <w:t>different</w:t>
      </w:r>
      <w:r w:rsidRPr="00691331">
        <w:t xml:space="preserve"> </w:t>
      </w:r>
      <w:r>
        <w:t>useful</w:t>
      </w:r>
      <w:r w:rsidRPr="00691331">
        <w:t xml:space="preserve"> </w:t>
      </w:r>
      <w:r>
        <w:t>lives,</w:t>
      </w:r>
      <w:r w:rsidRPr="00691331">
        <w:t xml:space="preserve"> the</w:t>
      </w:r>
      <w:r>
        <w:t xml:space="preserve">y </w:t>
      </w:r>
      <w:r w:rsidRPr="00691331">
        <w:t>are accounte</w:t>
      </w:r>
      <w:r>
        <w:t>d</w:t>
      </w:r>
      <w:r w:rsidRPr="00691331">
        <w:t xml:space="preserve"> fo</w:t>
      </w:r>
      <w:r>
        <w:t>r</w:t>
      </w:r>
      <w:r w:rsidRPr="00691331">
        <w:t xml:space="preserve"> </w:t>
      </w:r>
      <w:r>
        <w:t>as</w:t>
      </w:r>
      <w:r w:rsidRPr="00691331">
        <w:t xml:space="preserve"> separat</w:t>
      </w:r>
      <w:r>
        <w:t>e</w:t>
      </w:r>
      <w:r w:rsidRPr="00691331">
        <w:t xml:space="preserve"> item</w:t>
      </w:r>
      <w:r>
        <w:t>s</w:t>
      </w:r>
      <w:r w:rsidRPr="00691331">
        <w:t xml:space="preserve"> (majo</w:t>
      </w:r>
      <w:r>
        <w:t>r</w:t>
      </w:r>
      <w:r w:rsidRPr="00691331">
        <w:t xml:space="preserve"> </w:t>
      </w:r>
      <w:r>
        <w:t>components)</w:t>
      </w:r>
      <w:r w:rsidRPr="00691331">
        <w:t xml:space="preserve"> o</w:t>
      </w:r>
      <w:r>
        <w:t>f</w:t>
      </w:r>
      <w:r w:rsidRPr="00691331">
        <w:t xml:space="preserve"> </w:t>
      </w:r>
      <w:r>
        <w:t>property</w:t>
      </w:r>
      <w:r w:rsidRPr="00691331">
        <w:t xml:space="preserve"> an</w:t>
      </w:r>
      <w:r>
        <w:t>d</w:t>
      </w:r>
      <w:r w:rsidRPr="00691331">
        <w:t xml:space="preserve"> </w:t>
      </w:r>
      <w:r>
        <w:t xml:space="preserve">equipment. </w:t>
      </w:r>
      <w:r w:rsidRPr="00691331">
        <w:t xml:space="preserve"> Th</w:t>
      </w:r>
      <w:r>
        <w:t>e</w:t>
      </w:r>
      <w:r w:rsidRPr="00691331">
        <w:t xml:space="preserve"> </w:t>
      </w:r>
      <w:r>
        <w:t>costs</w:t>
      </w:r>
      <w:r w:rsidRPr="00691331">
        <w:t xml:space="preserve"> o</w:t>
      </w:r>
      <w:r>
        <w:t>f</w:t>
      </w:r>
      <w:r w:rsidRPr="00691331">
        <w:t xml:space="preserve"> th</w:t>
      </w:r>
      <w:r>
        <w:t>e</w:t>
      </w:r>
      <w:r w:rsidRPr="00691331">
        <w:t xml:space="preserve"> day-to-day </w:t>
      </w:r>
      <w:r>
        <w:t>servicing</w:t>
      </w:r>
      <w:r w:rsidRPr="00691331">
        <w:t xml:space="preserve"> o</w:t>
      </w:r>
      <w:r>
        <w:t>f</w:t>
      </w:r>
      <w:r w:rsidRPr="00691331">
        <w:t xml:space="preserve"> </w:t>
      </w:r>
      <w:r>
        <w:t>property</w:t>
      </w:r>
      <w:r w:rsidRPr="00691331">
        <w:t xml:space="preserve"> an</w:t>
      </w:r>
      <w:r>
        <w:t>d</w:t>
      </w:r>
      <w:r w:rsidRPr="00691331">
        <w:t xml:space="preserve"> </w:t>
      </w:r>
      <w:r>
        <w:t>equipment</w:t>
      </w:r>
      <w:r w:rsidRPr="00691331">
        <w:t xml:space="preserve"> ar</w:t>
      </w:r>
      <w:r>
        <w:t>e</w:t>
      </w:r>
      <w:r w:rsidRPr="00691331">
        <w:t xml:space="preserve"> recognize</w:t>
      </w:r>
      <w:r>
        <w:t>d</w:t>
      </w:r>
      <w:r w:rsidRPr="00691331">
        <w:t xml:space="preserve"> i</w:t>
      </w:r>
      <w:r>
        <w:t>n</w:t>
      </w:r>
      <w:r w:rsidRPr="00691331">
        <w:t xml:space="preserve"> th</w:t>
      </w:r>
      <w:r>
        <w:t>e</w:t>
      </w:r>
      <w:r w:rsidRPr="00691331">
        <w:t xml:space="preserve"> </w:t>
      </w:r>
      <w:r>
        <w:t>statement</w:t>
      </w:r>
      <w:r w:rsidRPr="00691331">
        <w:t xml:space="preserve"> o</w:t>
      </w:r>
      <w:r>
        <w:t>f</w:t>
      </w:r>
      <w:r w:rsidRPr="00691331">
        <w:t xml:space="preserve"> comprehensiv</w:t>
      </w:r>
      <w:r>
        <w:t>e</w:t>
      </w:r>
      <w:r w:rsidRPr="00691331">
        <w:t xml:space="preserve"> los</w:t>
      </w:r>
      <w:r>
        <w:t>s</w:t>
      </w:r>
      <w:r w:rsidRPr="00691331">
        <w:t xml:space="preserve"> i</w:t>
      </w:r>
      <w:r>
        <w:t>n</w:t>
      </w:r>
      <w:r w:rsidRPr="00691331">
        <w:t xml:space="preserve"> the </w:t>
      </w:r>
      <w:r>
        <w:t>period</w:t>
      </w:r>
      <w:r w:rsidRPr="00691331">
        <w:t xml:space="preserve"> </w:t>
      </w:r>
      <w:r>
        <w:t>in</w:t>
      </w:r>
      <w:r w:rsidRPr="00691331">
        <w:t xml:space="preserve"> </w:t>
      </w:r>
      <w:r>
        <w:t>which</w:t>
      </w:r>
      <w:r w:rsidRPr="00691331">
        <w:t xml:space="preserve"> </w:t>
      </w:r>
      <w:r>
        <w:t>they</w:t>
      </w:r>
      <w:r w:rsidRPr="00691331">
        <w:t xml:space="preserve"> </w:t>
      </w:r>
      <w:r>
        <w:t>are</w:t>
      </w:r>
      <w:r w:rsidRPr="00691331">
        <w:t xml:space="preserve"> incurred.</w:t>
      </w:r>
    </w:p>
    <w:p w14:paraId="6445B427" w14:textId="77777777" w:rsidR="00FD3273" w:rsidRDefault="00FD3273" w:rsidP="00C417E7">
      <w:pPr>
        <w:pStyle w:val="Note-Sub-heading"/>
        <w:tabs>
          <w:tab w:val="left" w:pos="1134"/>
        </w:tabs>
        <w:ind w:left="0"/>
      </w:pPr>
    </w:p>
    <w:p w14:paraId="611D1DCC" w14:textId="77777777" w:rsidR="00F97A09" w:rsidRPr="006809F4" w:rsidRDefault="00F97A09" w:rsidP="00F97A09">
      <w:pPr>
        <w:pStyle w:val="Note-Sub-normal2"/>
        <w:ind w:left="0"/>
        <w:rPr>
          <w:b/>
        </w:rPr>
      </w:pPr>
      <w:r w:rsidRPr="006809F4">
        <w:rPr>
          <w:b/>
        </w:rPr>
        <w:t>3.  Significant accounting policies (continued):</w:t>
      </w:r>
    </w:p>
    <w:p w14:paraId="350D0EF3" w14:textId="77777777" w:rsidR="003B1595" w:rsidRPr="007742A5" w:rsidRDefault="003B1595" w:rsidP="007742A5">
      <w:pPr>
        <w:pStyle w:val="Note-Sub-heading2"/>
        <w:rPr>
          <w:spacing w:val="2"/>
        </w:rPr>
      </w:pPr>
      <w:r w:rsidRPr="007742A5">
        <w:rPr>
          <w:spacing w:val="2"/>
        </w:rPr>
        <w:t>(ii)</w:t>
      </w:r>
      <w:r w:rsidR="00712237" w:rsidRPr="007742A5">
        <w:rPr>
          <w:spacing w:val="2"/>
        </w:rPr>
        <w:tab/>
      </w:r>
      <w:r w:rsidRPr="007742A5">
        <w:rPr>
          <w:spacing w:val="2"/>
        </w:rPr>
        <w:t>Depreciation</w:t>
      </w:r>
    </w:p>
    <w:p w14:paraId="51035313" w14:textId="77777777" w:rsidR="003506D7" w:rsidRDefault="00FD3273" w:rsidP="00FD3273">
      <w:pPr>
        <w:pStyle w:val="Note-Sub-normal2"/>
      </w:pPr>
      <w:r>
        <w:t>Depreciation</w:t>
      </w:r>
      <w:r>
        <w:rPr>
          <w:spacing w:val="9"/>
        </w:rPr>
        <w:t xml:space="preserve"> </w:t>
      </w:r>
      <w:r>
        <w:t>is recognized</w:t>
      </w:r>
      <w:r>
        <w:rPr>
          <w:spacing w:val="8"/>
        </w:rPr>
        <w:t xml:space="preserve"> </w:t>
      </w:r>
      <w:r>
        <w:t>in profit</w:t>
      </w:r>
      <w:r>
        <w:rPr>
          <w:spacing w:val="3"/>
        </w:rPr>
        <w:t xml:space="preserve"> </w:t>
      </w:r>
      <w:r>
        <w:t>or loss</w:t>
      </w:r>
      <w:r>
        <w:rPr>
          <w:spacing w:val="2"/>
        </w:rPr>
        <w:t xml:space="preserve"> </w:t>
      </w:r>
      <w:r>
        <w:t>over</w:t>
      </w:r>
      <w:r>
        <w:rPr>
          <w:spacing w:val="2"/>
        </w:rPr>
        <w:t xml:space="preserve"> </w:t>
      </w:r>
      <w:r>
        <w:t>the</w:t>
      </w:r>
      <w:r>
        <w:rPr>
          <w:spacing w:val="1"/>
        </w:rPr>
        <w:t xml:space="preserve"> </w:t>
      </w:r>
      <w:r>
        <w:t>estimated</w:t>
      </w:r>
      <w:r>
        <w:rPr>
          <w:spacing w:val="6"/>
        </w:rPr>
        <w:t xml:space="preserve"> </w:t>
      </w:r>
      <w:r>
        <w:t>useful</w:t>
      </w:r>
      <w:r>
        <w:rPr>
          <w:spacing w:val="3"/>
        </w:rPr>
        <w:t xml:space="preserve"> </w:t>
      </w:r>
      <w:r>
        <w:t>lives</w:t>
      </w:r>
      <w:r>
        <w:rPr>
          <w:spacing w:val="2"/>
        </w:rPr>
        <w:t xml:space="preserve"> </w:t>
      </w:r>
      <w:r>
        <w:t>of each</w:t>
      </w:r>
      <w:r>
        <w:rPr>
          <w:spacing w:val="3"/>
        </w:rPr>
        <w:t xml:space="preserve"> </w:t>
      </w:r>
      <w:r>
        <w:t>part</w:t>
      </w:r>
      <w:r>
        <w:rPr>
          <w:spacing w:val="2"/>
        </w:rPr>
        <w:t xml:space="preserve"> </w:t>
      </w:r>
      <w:r>
        <w:t>of an</w:t>
      </w:r>
      <w:r>
        <w:rPr>
          <w:spacing w:val="1"/>
        </w:rPr>
        <w:t xml:space="preserve"> </w:t>
      </w:r>
      <w:r>
        <w:t>item</w:t>
      </w:r>
      <w:r>
        <w:rPr>
          <w:spacing w:val="2"/>
        </w:rPr>
        <w:t xml:space="preserve"> </w:t>
      </w:r>
      <w:r>
        <w:t>of property</w:t>
      </w:r>
      <w:r>
        <w:rPr>
          <w:spacing w:val="5"/>
        </w:rPr>
        <w:t xml:space="preserve"> </w:t>
      </w:r>
      <w:r>
        <w:rPr>
          <w:w w:val="101"/>
        </w:rPr>
        <w:t xml:space="preserve">and </w:t>
      </w:r>
      <w:r>
        <w:t>equipment</w:t>
      </w:r>
      <w:r>
        <w:rPr>
          <w:spacing w:val="17"/>
        </w:rPr>
        <w:t xml:space="preserve"> </w:t>
      </w:r>
      <w:r>
        <w:rPr>
          <w:spacing w:val="1"/>
        </w:rPr>
        <w:t>i</w:t>
      </w:r>
      <w:r>
        <w:t>n</w:t>
      </w:r>
      <w:r>
        <w:rPr>
          <w:spacing w:val="11"/>
        </w:rPr>
        <w:t xml:space="preserve"> </w:t>
      </w:r>
      <w:r>
        <w:t>a</w:t>
      </w:r>
      <w:r>
        <w:rPr>
          <w:spacing w:val="9"/>
        </w:rPr>
        <w:t xml:space="preserve"> </w:t>
      </w:r>
      <w:r>
        <w:t>manner</w:t>
      </w:r>
      <w:r>
        <w:rPr>
          <w:spacing w:val="16"/>
        </w:rPr>
        <w:t xml:space="preserve"> </w:t>
      </w:r>
      <w:r>
        <w:t>which</w:t>
      </w:r>
      <w:r>
        <w:rPr>
          <w:spacing w:val="13"/>
        </w:rPr>
        <w:t xml:space="preserve"> </w:t>
      </w:r>
      <w:r>
        <w:rPr>
          <w:spacing w:val="2"/>
        </w:rPr>
        <w:t>mos</w:t>
      </w:r>
      <w:r>
        <w:t>t</w:t>
      </w:r>
      <w:r>
        <w:rPr>
          <w:spacing w:val="14"/>
        </w:rPr>
        <w:t xml:space="preserve"> </w:t>
      </w:r>
      <w:r>
        <w:t>closely</w:t>
      </w:r>
      <w:r>
        <w:rPr>
          <w:spacing w:val="14"/>
        </w:rPr>
        <w:t xml:space="preserve"> </w:t>
      </w:r>
      <w:r>
        <w:t>reflects</w:t>
      </w:r>
      <w:r>
        <w:rPr>
          <w:spacing w:val="14"/>
        </w:rPr>
        <w:t xml:space="preserve"> </w:t>
      </w:r>
      <w:r>
        <w:rPr>
          <w:spacing w:val="-1"/>
        </w:rPr>
        <w:t>th</w:t>
      </w:r>
      <w:r>
        <w:t>e</w:t>
      </w:r>
      <w:r>
        <w:rPr>
          <w:spacing w:val="10"/>
        </w:rPr>
        <w:t xml:space="preserve"> </w:t>
      </w:r>
      <w:r>
        <w:rPr>
          <w:spacing w:val="1"/>
        </w:rPr>
        <w:t>expecte</w:t>
      </w:r>
      <w:r>
        <w:t>d</w:t>
      </w:r>
      <w:r>
        <w:rPr>
          <w:spacing w:val="6"/>
        </w:rPr>
        <w:t xml:space="preserve"> </w:t>
      </w:r>
      <w:r>
        <w:rPr>
          <w:spacing w:val="1"/>
        </w:rPr>
        <w:t>patter</w:t>
      </w:r>
      <w:r>
        <w:t>n</w:t>
      </w:r>
      <w:r>
        <w:rPr>
          <w:spacing w:val="4"/>
        </w:rPr>
        <w:t xml:space="preserve"> </w:t>
      </w:r>
      <w:r>
        <w:rPr>
          <w:spacing w:val="1"/>
        </w:rPr>
        <w:t>o</w:t>
      </w:r>
      <w:r>
        <w:t xml:space="preserve">f </w:t>
      </w:r>
      <w:r>
        <w:rPr>
          <w:spacing w:val="1"/>
        </w:rPr>
        <w:t>consumptio</w:t>
      </w:r>
      <w:r>
        <w:t>n</w:t>
      </w:r>
      <w:r>
        <w:rPr>
          <w:spacing w:val="9"/>
        </w:rPr>
        <w:t xml:space="preserve"> </w:t>
      </w:r>
      <w:r>
        <w:rPr>
          <w:spacing w:val="1"/>
        </w:rPr>
        <w:t>o</w:t>
      </w:r>
      <w:r>
        <w:t xml:space="preserve">f </w:t>
      </w:r>
      <w:r>
        <w:rPr>
          <w:spacing w:val="1"/>
        </w:rPr>
        <w:t>th</w:t>
      </w:r>
      <w:r>
        <w:t>e</w:t>
      </w:r>
      <w:r>
        <w:rPr>
          <w:spacing w:val="1"/>
        </w:rPr>
        <w:t xml:space="preserve"> futur</w:t>
      </w:r>
      <w:r>
        <w:t>e</w:t>
      </w:r>
      <w:r>
        <w:rPr>
          <w:spacing w:val="3"/>
        </w:rPr>
        <w:t xml:space="preserve"> </w:t>
      </w:r>
      <w:r>
        <w:rPr>
          <w:spacing w:val="1"/>
          <w:w w:val="101"/>
        </w:rPr>
        <w:t xml:space="preserve">economic </w:t>
      </w:r>
      <w:r>
        <w:rPr>
          <w:spacing w:val="-1"/>
        </w:rPr>
        <w:t>benefit</w:t>
      </w:r>
      <w:r>
        <w:t>s</w:t>
      </w:r>
      <w:r>
        <w:rPr>
          <w:spacing w:val="42"/>
        </w:rPr>
        <w:t xml:space="preserve"> </w:t>
      </w:r>
      <w:r>
        <w:rPr>
          <w:spacing w:val="-5"/>
        </w:rPr>
        <w:t>e</w:t>
      </w:r>
      <w:r>
        <w:rPr>
          <w:spacing w:val="6"/>
        </w:rPr>
        <w:t>m</w:t>
      </w:r>
      <w:r>
        <w:rPr>
          <w:spacing w:val="-1"/>
        </w:rPr>
        <w:t>bodie</w:t>
      </w:r>
      <w:r>
        <w:t>d</w:t>
      </w:r>
      <w:r>
        <w:rPr>
          <w:spacing w:val="44"/>
        </w:rPr>
        <w:t xml:space="preserve"> </w:t>
      </w:r>
      <w:r>
        <w:rPr>
          <w:spacing w:val="1"/>
        </w:rPr>
        <w:t>i</w:t>
      </w:r>
      <w:r>
        <w:t>n</w:t>
      </w:r>
      <w:r>
        <w:rPr>
          <w:spacing w:val="38"/>
        </w:rPr>
        <w:t xml:space="preserve"> </w:t>
      </w:r>
      <w:r>
        <w:rPr>
          <w:spacing w:val="-1"/>
        </w:rPr>
        <w:t>th</w:t>
      </w:r>
      <w:r>
        <w:t>e</w:t>
      </w:r>
      <w:r>
        <w:rPr>
          <w:spacing w:val="38"/>
        </w:rPr>
        <w:t xml:space="preserve"> </w:t>
      </w:r>
      <w:r>
        <w:t xml:space="preserve">asset.  </w:t>
      </w:r>
      <w:r>
        <w:rPr>
          <w:spacing w:val="-1"/>
        </w:rPr>
        <w:t>T</w:t>
      </w:r>
      <w:r>
        <w:rPr>
          <w:spacing w:val="-3"/>
        </w:rPr>
        <w:t>h</w:t>
      </w:r>
      <w:r>
        <w:t>e</w:t>
      </w:r>
      <w:r>
        <w:rPr>
          <w:spacing w:val="36"/>
        </w:rPr>
        <w:t xml:space="preserve"> </w:t>
      </w:r>
      <w:r>
        <w:t>estimated</w:t>
      </w:r>
      <w:r w:rsidRPr="005C727F">
        <w:t xml:space="preserve"> </w:t>
      </w:r>
      <w:r>
        <w:t>useful</w:t>
      </w:r>
      <w:r w:rsidRPr="005C727F">
        <w:t xml:space="preserve"> </w:t>
      </w:r>
      <w:r>
        <w:t>lives</w:t>
      </w:r>
      <w:r w:rsidRPr="005C727F">
        <w:t xml:space="preserve"> and depreciation method fo</w:t>
      </w:r>
      <w:r>
        <w:t>r</w:t>
      </w:r>
      <w:r w:rsidRPr="005C727F">
        <w:t xml:space="preserve"> th</w:t>
      </w:r>
      <w:r>
        <w:t>e</w:t>
      </w:r>
      <w:r w:rsidRPr="005C727F">
        <w:t xml:space="preserve"> </w:t>
      </w:r>
      <w:r>
        <w:t>current</w:t>
      </w:r>
      <w:r w:rsidRPr="005C727F">
        <w:t xml:space="preserve"> an</w:t>
      </w:r>
      <w:r>
        <w:t>d</w:t>
      </w:r>
      <w:r w:rsidRPr="005C727F">
        <w:t xml:space="preserve"> </w:t>
      </w:r>
      <w:r>
        <w:t>comparative</w:t>
      </w:r>
      <w:r w:rsidRPr="005C727F">
        <w:t xml:space="preserve"> </w:t>
      </w:r>
      <w:r>
        <w:t>periods</w:t>
      </w:r>
      <w:r w:rsidRPr="005C727F">
        <w:t xml:space="preserve"> ar</w:t>
      </w:r>
      <w:r>
        <w:t>e</w:t>
      </w:r>
      <w:r w:rsidRPr="005C727F">
        <w:t xml:space="preserve"> as follows:</w:t>
      </w:r>
    </w:p>
    <w:p w14:paraId="0796CEBB" w14:textId="77777777" w:rsidR="00742E7F" w:rsidRDefault="00742E7F" w:rsidP="00FC6C44">
      <w:pPr>
        <w:rPr>
          <w:spacing w:val="-2"/>
        </w:rPr>
      </w:pPr>
    </w:p>
    <w:p w14:paraId="3F8592B5" w14:textId="77777777" w:rsidR="00FD3273" w:rsidRPr="00742E7F" w:rsidRDefault="00FD3273" w:rsidP="00FD3273">
      <w:pPr>
        <w:ind w:left="720" w:firstLine="720"/>
      </w:pPr>
      <w:r w:rsidRPr="00FD3273">
        <w:rPr>
          <w:noProof/>
        </w:rPr>
        <w:drawing>
          <wp:inline distT="0" distB="0" distL="0" distR="0" wp14:anchorId="0F23F787" wp14:editId="71DBB0DC">
            <wp:extent cx="4655820" cy="11201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5820" cy="1120140"/>
                    </a:xfrm>
                    <a:prstGeom prst="rect">
                      <a:avLst/>
                    </a:prstGeom>
                    <a:noFill/>
                    <a:ln>
                      <a:noFill/>
                    </a:ln>
                  </pic:spPr>
                </pic:pic>
              </a:graphicData>
            </a:graphic>
          </wp:inline>
        </w:drawing>
      </w:r>
      <w:r>
        <w:tab/>
      </w:r>
    </w:p>
    <w:p w14:paraId="0259FB21" w14:textId="77777777" w:rsidR="00742E7F" w:rsidRPr="00742E7F" w:rsidRDefault="00742E7F" w:rsidP="00742E7F"/>
    <w:p w14:paraId="5103DE81" w14:textId="77777777" w:rsidR="003B1595" w:rsidRDefault="003B1595" w:rsidP="00E02F42">
      <w:pPr>
        <w:pStyle w:val="Note-Sub-normal2"/>
        <w:rPr>
          <w:w w:val="101"/>
        </w:rPr>
      </w:pPr>
      <w:r>
        <w:rPr>
          <w:spacing w:val="-1"/>
        </w:rPr>
        <w:t>Depreciatio</w:t>
      </w:r>
      <w:r>
        <w:t>n</w:t>
      </w:r>
      <w:r>
        <w:rPr>
          <w:spacing w:val="27"/>
        </w:rPr>
        <w:t xml:space="preserve"> </w:t>
      </w:r>
      <w:r>
        <w:rPr>
          <w:spacing w:val="6"/>
        </w:rPr>
        <w:t>m</w:t>
      </w:r>
      <w:r>
        <w:rPr>
          <w:spacing w:val="-5"/>
        </w:rPr>
        <w:t>e</w:t>
      </w:r>
      <w:r>
        <w:t>thods,</w:t>
      </w:r>
      <w:r>
        <w:rPr>
          <w:spacing w:val="25"/>
        </w:rPr>
        <w:t xml:space="preserve"> </w:t>
      </w:r>
      <w:r>
        <w:t>useful</w:t>
      </w:r>
      <w:r>
        <w:rPr>
          <w:spacing w:val="22"/>
        </w:rPr>
        <w:t xml:space="preserve"> </w:t>
      </w:r>
      <w:r>
        <w:t>lives</w:t>
      </w:r>
      <w:r>
        <w:rPr>
          <w:spacing w:val="21"/>
        </w:rPr>
        <w:t xml:space="preserve"> </w:t>
      </w:r>
      <w:r>
        <w:rPr>
          <w:spacing w:val="-1"/>
        </w:rPr>
        <w:t>an</w:t>
      </w:r>
      <w:r>
        <w:t>d</w:t>
      </w:r>
      <w:r>
        <w:rPr>
          <w:spacing w:val="20"/>
        </w:rPr>
        <w:t xml:space="preserve"> </w:t>
      </w:r>
      <w:r>
        <w:t>residual</w:t>
      </w:r>
      <w:r>
        <w:rPr>
          <w:spacing w:val="23"/>
        </w:rPr>
        <w:t xml:space="preserve"> </w:t>
      </w:r>
      <w:r>
        <w:rPr>
          <w:spacing w:val="-1"/>
        </w:rPr>
        <w:t>value</w:t>
      </w:r>
      <w:r>
        <w:t>s</w:t>
      </w:r>
      <w:r>
        <w:rPr>
          <w:spacing w:val="22"/>
        </w:rPr>
        <w:t xml:space="preserve"> </w:t>
      </w:r>
      <w:r>
        <w:rPr>
          <w:spacing w:val="-1"/>
        </w:rPr>
        <w:t>ar</w:t>
      </w:r>
      <w:r>
        <w:t>e</w:t>
      </w:r>
      <w:r>
        <w:rPr>
          <w:spacing w:val="19"/>
        </w:rPr>
        <w:t xml:space="preserve"> </w:t>
      </w:r>
      <w:r>
        <w:t>reviewed</w:t>
      </w:r>
      <w:r>
        <w:rPr>
          <w:spacing w:val="22"/>
        </w:rPr>
        <w:t xml:space="preserve"> </w:t>
      </w:r>
      <w:r>
        <w:rPr>
          <w:spacing w:val="1"/>
        </w:rPr>
        <w:t>a</w:t>
      </w:r>
      <w:r>
        <w:t>t</w:t>
      </w:r>
      <w:r>
        <w:rPr>
          <w:spacing w:val="19"/>
        </w:rPr>
        <w:t xml:space="preserve"> </w:t>
      </w:r>
      <w:r>
        <w:t>each</w:t>
      </w:r>
      <w:r>
        <w:rPr>
          <w:spacing w:val="19"/>
        </w:rPr>
        <w:t xml:space="preserve"> </w:t>
      </w:r>
      <w:r>
        <w:rPr>
          <w:spacing w:val="1"/>
        </w:rPr>
        <w:t>financia</w:t>
      </w:r>
      <w:r>
        <w:t>l</w:t>
      </w:r>
      <w:r>
        <w:rPr>
          <w:spacing w:val="25"/>
        </w:rPr>
        <w:t xml:space="preserve"> </w:t>
      </w:r>
      <w:r>
        <w:rPr>
          <w:spacing w:val="-1"/>
        </w:rPr>
        <w:t>year-en</w:t>
      </w:r>
      <w:r>
        <w:t>d</w:t>
      </w:r>
      <w:r>
        <w:rPr>
          <w:spacing w:val="23"/>
        </w:rPr>
        <w:t xml:space="preserve"> </w:t>
      </w:r>
      <w:r>
        <w:rPr>
          <w:spacing w:val="-1"/>
        </w:rPr>
        <w:t>an</w:t>
      </w:r>
      <w:r>
        <w:t>d</w:t>
      </w:r>
      <w:r>
        <w:rPr>
          <w:spacing w:val="15"/>
        </w:rPr>
        <w:t xml:space="preserve"> </w:t>
      </w:r>
      <w:r>
        <w:t>adjusted</w:t>
      </w:r>
      <w:r>
        <w:rPr>
          <w:spacing w:val="19"/>
        </w:rPr>
        <w:t xml:space="preserve"> </w:t>
      </w:r>
      <w:r>
        <w:rPr>
          <w:spacing w:val="3"/>
          <w:w w:val="101"/>
        </w:rPr>
        <w:t xml:space="preserve">if </w:t>
      </w:r>
      <w:r>
        <w:rPr>
          <w:w w:val="101"/>
        </w:rPr>
        <w:t>appropriate.</w:t>
      </w:r>
    </w:p>
    <w:p w14:paraId="1C7BD994" w14:textId="25891CEF" w:rsidR="003B1595" w:rsidRDefault="003B1595" w:rsidP="0032270E">
      <w:pPr>
        <w:pStyle w:val="Note-Sub-heading"/>
      </w:pPr>
      <w:r>
        <w:t>(</w:t>
      </w:r>
      <w:r w:rsidR="00F97A09">
        <w:t>f</w:t>
      </w:r>
      <w:r>
        <w:t>)</w:t>
      </w:r>
      <w:r w:rsidR="0032270E">
        <w:tab/>
      </w:r>
      <w:r>
        <w:t>Intangible</w:t>
      </w:r>
      <w:r>
        <w:rPr>
          <w:spacing w:val="9"/>
        </w:rPr>
        <w:t xml:space="preserve"> </w:t>
      </w:r>
      <w:r>
        <w:rPr>
          <w:w w:val="101"/>
        </w:rPr>
        <w:t>assets</w:t>
      </w:r>
    </w:p>
    <w:p w14:paraId="5656BDA9" w14:textId="77777777" w:rsidR="003B1595" w:rsidRDefault="003B1595" w:rsidP="00E02F42">
      <w:pPr>
        <w:pStyle w:val="Note-Sub-heading2"/>
      </w:pPr>
      <w:r>
        <w:rPr>
          <w:spacing w:val="2"/>
        </w:rPr>
        <w:t>(i</w:t>
      </w:r>
      <w:r>
        <w:t>)</w:t>
      </w:r>
      <w:r w:rsidR="00E02F42">
        <w:rPr>
          <w:spacing w:val="-48"/>
        </w:rPr>
        <w:tab/>
      </w:r>
      <w:r>
        <w:t>Research</w:t>
      </w:r>
      <w:r>
        <w:rPr>
          <w:spacing w:val="8"/>
        </w:rPr>
        <w:t xml:space="preserve"> </w:t>
      </w:r>
      <w:r>
        <w:t>and</w:t>
      </w:r>
      <w:r>
        <w:rPr>
          <w:spacing w:val="3"/>
        </w:rPr>
        <w:t xml:space="preserve"> </w:t>
      </w:r>
      <w:r>
        <w:rPr>
          <w:w w:val="101"/>
        </w:rPr>
        <w:t>development</w:t>
      </w:r>
    </w:p>
    <w:p w14:paraId="58B6CD64" w14:textId="77777777" w:rsidR="003B1595" w:rsidRDefault="003B1595" w:rsidP="00E02F42">
      <w:pPr>
        <w:pStyle w:val="Note-Sub-normal2"/>
      </w:pPr>
      <w:r>
        <w:t>Expenditure</w:t>
      </w:r>
      <w:r>
        <w:rPr>
          <w:spacing w:val="8"/>
        </w:rPr>
        <w:t xml:space="preserve"> </w:t>
      </w:r>
      <w:r>
        <w:t>on research</w:t>
      </w:r>
      <w:r>
        <w:rPr>
          <w:spacing w:val="5"/>
        </w:rPr>
        <w:t xml:space="preserve"> </w:t>
      </w:r>
      <w:r>
        <w:t>activities,</w:t>
      </w:r>
      <w:r>
        <w:rPr>
          <w:spacing w:val="6"/>
        </w:rPr>
        <w:t xml:space="preserve"> </w:t>
      </w:r>
      <w:r>
        <w:t>undertaken</w:t>
      </w:r>
      <w:r>
        <w:rPr>
          <w:spacing w:val="8"/>
        </w:rPr>
        <w:t xml:space="preserve"> </w:t>
      </w:r>
      <w:r>
        <w:t>with</w:t>
      </w:r>
      <w:r>
        <w:rPr>
          <w:spacing w:val="2"/>
        </w:rPr>
        <w:t xml:space="preserve"> </w:t>
      </w:r>
      <w:r>
        <w:t>the</w:t>
      </w:r>
      <w:r>
        <w:rPr>
          <w:spacing w:val="1"/>
        </w:rPr>
        <w:t xml:space="preserve"> </w:t>
      </w:r>
      <w:r>
        <w:t>prospect</w:t>
      </w:r>
      <w:r>
        <w:rPr>
          <w:spacing w:val="5"/>
        </w:rPr>
        <w:t xml:space="preserve"> </w:t>
      </w:r>
      <w:r>
        <w:t>of gaining</w:t>
      </w:r>
      <w:r>
        <w:rPr>
          <w:spacing w:val="4"/>
        </w:rPr>
        <w:t xml:space="preserve"> </w:t>
      </w:r>
      <w:r>
        <w:t>new</w:t>
      </w:r>
      <w:r>
        <w:rPr>
          <w:spacing w:val="2"/>
        </w:rPr>
        <w:t xml:space="preserve"> </w:t>
      </w:r>
      <w:r>
        <w:t>scientific</w:t>
      </w:r>
      <w:r>
        <w:rPr>
          <w:spacing w:val="5"/>
        </w:rPr>
        <w:t xml:space="preserve"> </w:t>
      </w:r>
      <w:r>
        <w:t>or technical</w:t>
      </w:r>
      <w:r>
        <w:rPr>
          <w:spacing w:val="6"/>
        </w:rPr>
        <w:t xml:space="preserve"> </w:t>
      </w:r>
      <w:r>
        <w:rPr>
          <w:w w:val="101"/>
        </w:rPr>
        <w:t xml:space="preserve">knowledge </w:t>
      </w:r>
      <w:r>
        <w:t>and</w:t>
      </w:r>
      <w:r>
        <w:rPr>
          <w:spacing w:val="4"/>
        </w:rPr>
        <w:t xml:space="preserve"> </w:t>
      </w:r>
      <w:r>
        <w:t>understanding,</w:t>
      </w:r>
      <w:r>
        <w:rPr>
          <w:spacing w:val="13"/>
        </w:rPr>
        <w:t xml:space="preserve"> </w:t>
      </w:r>
      <w:r>
        <w:t>is</w:t>
      </w:r>
      <w:r>
        <w:rPr>
          <w:spacing w:val="2"/>
        </w:rPr>
        <w:t xml:space="preserve"> </w:t>
      </w:r>
      <w:r>
        <w:t>recognized</w:t>
      </w:r>
      <w:r>
        <w:rPr>
          <w:spacing w:val="10"/>
        </w:rPr>
        <w:t xml:space="preserve"> </w:t>
      </w:r>
      <w:r>
        <w:t>in</w:t>
      </w:r>
      <w:r>
        <w:rPr>
          <w:spacing w:val="2"/>
        </w:rPr>
        <w:t xml:space="preserve"> </w:t>
      </w:r>
      <w:r>
        <w:t>profit</w:t>
      </w:r>
      <w:r>
        <w:rPr>
          <w:spacing w:val="5"/>
        </w:rPr>
        <w:t xml:space="preserve"> </w:t>
      </w:r>
      <w:r>
        <w:t>or</w:t>
      </w:r>
      <w:r>
        <w:rPr>
          <w:spacing w:val="3"/>
        </w:rPr>
        <w:t xml:space="preserve"> </w:t>
      </w:r>
      <w:r>
        <w:t>loss</w:t>
      </w:r>
      <w:r>
        <w:rPr>
          <w:spacing w:val="4"/>
        </w:rPr>
        <w:t xml:space="preserve"> </w:t>
      </w:r>
      <w:r>
        <w:t>as</w:t>
      </w:r>
      <w:r>
        <w:rPr>
          <w:spacing w:val="3"/>
        </w:rPr>
        <w:t xml:space="preserve"> </w:t>
      </w:r>
      <w:r>
        <w:rPr>
          <w:w w:val="101"/>
        </w:rPr>
        <w:t>incurred.</w:t>
      </w:r>
    </w:p>
    <w:p w14:paraId="77F25CBA" w14:textId="77777777" w:rsidR="003B1595" w:rsidRDefault="003B1595" w:rsidP="00E02F42">
      <w:pPr>
        <w:pStyle w:val="Note-Sub-normal2"/>
      </w:pPr>
      <w:r>
        <w:t>Development</w:t>
      </w:r>
      <w:r>
        <w:rPr>
          <w:spacing w:val="10"/>
        </w:rPr>
        <w:t xml:space="preserve"> </w:t>
      </w:r>
      <w:r>
        <w:t>activities</w:t>
      </w:r>
      <w:r>
        <w:rPr>
          <w:spacing w:val="6"/>
        </w:rPr>
        <w:t xml:space="preserve"> </w:t>
      </w:r>
      <w:r>
        <w:t>involve</w:t>
      </w:r>
      <w:r>
        <w:rPr>
          <w:spacing w:val="5"/>
        </w:rPr>
        <w:t xml:space="preserve"> </w:t>
      </w:r>
      <w:r>
        <w:t>a plan</w:t>
      </w:r>
      <w:r>
        <w:rPr>
          <w:spacing w:val="2"/>
        </w:rPr>
        <w:t xml:space="preserve"> </w:t>
      </w:r>
      <w:r>
        <w:t>or</w:t>
      </w:r>
      <w:r>
        <w:rPr>
          <w:spacing w:val="1"/>
        </w:rPr>
        <w:t xml:space="preserve"> </w:t>
      </w:r>
      <w:r>
        <w:t>design</w:t>
      </w:r>
      <w:r>
        <w:rPr>
          <w:spacing w:val="4"/>
        </w:rPr>
        <w:t xml:space="preserve"> </w:t>
      </w:r>
      <w:r>
        <w:t>for</w:t>
      </w:r>
      <w:r>
        <w:rPr>
          <w:spacing w:val="1"/>
        </w:rPr>
        <w:t xml:space="preserve"> </w:t>
      </w:r>
      <w:r>
        <w:t>the</w:t>
      </w:r>
      <w:r>
        <w:rPr>
          <w:spacing w:val="1"/>
        </w:rPr>
        <w:t xml:space="preserve"> </w:t>
      </w:r>
      <w:r>
        <w:t>production</w:t>
      </w:r>
      <w:r>
        <w:rPr>
          <w:spacing w:val="7"/>
        </w:rPr>
        <w:t xml:space="preserve"> </w:t>
      </w:r>
      <w:r>
        <w:t>of new</w:t>
      </w:r>
      <w:r>
        <w:rPr>
          <w:spacing w:val="2"/>
        </w:rPr>
        <w:t xml:space="preserve"> </w:t>
      </w:r>
      <w:r>
        <w:t>or</w:t>
      </w:r>
      <w:r>
        <w:rPr>
          <w:spacing w:val="1"/>
        </w:rPr>
        <w:t xml:space="preserve"> </w:t>
      </w:r>
      <w:r>
        <w:t>substantially</w:t>
      </w:r>
      <w:r>
        <w:rPr>
          <w:spacing w:val="9"/>
        </w:rPr>
        <w:t xml:space="preserve"> </w:t>
      </w:r>
      <w:r>
        <w:t>improved</w:t>
      </w:r>
      <w:r>
        <w:rPr>
          <w:spacing w:val="6"/>
        </w:rPr>
        <w:t xml:space="preserve"> </w:t>
      </w:r>
      <w:r>
        <w:t>products</w:t>
      </w:r>
      <w:r>
        <w:rPr>
          <w:spacing w:val="6"/>
        </w:rPr>
        <w:t xml:space="preserve"> </w:t>
      </w:r>
      <w:r>
        <w:rPr>
          <w:w w:val="101"/>
        </w:rPr>
        <w:t xml:space="preserve">and </w:t>
      </w:r>
      <w:r>
        <w:rPr>
          <w:spacing w:val="-1"/>
        </w:rPr>
        <w:t>processes</w:t>
      </w:r>
      <w:r>
        <w:t>.</w:t>
      </w:r>
      <w:r>
        <w:rPr>
          <w:spacing w:val="49"/>
        </w:rPr>
        <w:t xml:space="preserve"> </w:t>
      </w:r>
      <w:r>
        <w:rPr>
          <w:spacing w:val="-1"/>
        </w:rPr>
        <w:t>Developmen</w:t>
      </w:r>
      <w:r>
        <w:t>t</w:t>
      </w:r>
      <w:r>
        <w:rPr>
          <w:spacing w:val="47"/>
        </w:rPr>
        <w:t xml:space="preserve"> </w:t>
      </w:r>
      <w:r>
        <w:t>expenditure</w:t>
      </w:r>
      <w:r>
        <w:rPr>
          <w:spacing w:val="44"/>
        </w:rPr>
        <w:t xml:space="preserve"> </w:t>
      </w:r>
      <w:r>
        <w:rPr>
          <w:spacing w:val="1"/>
        </w:rPr>
        <w:t>i</w:t>
      </w:r>
      <w:r>
        <w:t>s</w:t>
      </w:r>
      <w:r>
        <w:rPr>
          <w:spacing w:val="39"/>
        </w:rPr>
        <w:t xml:space="preserve"> </w:t>
      </w:r>
      <w:r>
        <w:t>capitalized</w:t>
      </w:r>
      <w:r>
        <w:rPr>
          <w:spacing w:val="45"/>
        </w:rPr>
        <w:t xml:space="preserve"> </w:t>
      </w:r>
      <w:r>
        <w:t>only</w:t>
      </w:r>
      <w:r>
        <w:rPr>
          <w:spacing w:val="40"/>
        </w:rPr>
        <w:t xml:space="preserve"> </w:t>
      </w:r>
      <w:r>
        <w:rPr>
          <w:spacing w:val="2"/>
        </w:rPr>
        <w:t>i</w:t>
      </w:r>
      <w:r>
        <w:t>f</w:t>
      </w:r>
      <w:r>
        <w:rPr>
          <w:spacing w:val="40"/>
        </w:rPr>
        <w:t xml:space="preserve"> </w:t>
      </w:r>
      <w:r>
        <w:rPr>
          <w:spacing w:val="-1"/>
        </w:rPr>
        <w:t>developmen</w:t>
      </w:r>
      <w:r>
        <w:t>t</w:t>
      </w:r>
      <w:r>
        <w:rPr>
          <w:spacing w:val="46"/>
        </w:rPr>
        <w:t xml:space="preserve"> </w:t>
      </w:r>
      <w:r>
        <w:t>costs</w:t>
      </w:r>
      <w:r>
        <w:rPr>
          <w:spacing w:val="41"/>
        </w:rPr>
        <w:t xml:space="preserve"> </w:t>
      </w:r>
      <w:r>
        <w:t>can</w:t>
      </w:r>
      <w:r>
        <w:rPr>
          <w:spacing w:val="39"/>
        </w:rPr>
        <w:t xml:space="preserve"> </w:t>
      </w:r>
      <w:r>
        <w:rPr>
          <w:spacing w:val="-3"/>
        </w:rPr>
        <w:t>b</w:t>
      </w:r>
      <w:r>
        <w:t>e</w:t>
      </w:r>
      <w:r>
        <w:rPr>
          <w:spacing w:val="35"/>
        </w:rPr>
        <w:t xml:space="preserve"> </w:t>
      </w:r>
      <w:r>
        <w:rPr>
          <w:spacing w:val="6"/>
        </w:rPr>
        <w:t>m</w:t>
      </w:r>
      <w:r>
        <w:rPr>
          <w:spacing w:val="-5"/>
        </w:rPr>
        <w:t>e</w:t>
      </w:r>
      <w:r>
        <w:rPr>
          <w:spacing w:val="-1"/>
        </w:rPr>
        <w:t>asure</w:t>
      </w:r>
      <w:r>
        <w:t>d</w:t>
      </w:r>
      <w:r>
        <w:rPr>
          <w:spacing w:val="43"/>
        </w:rPr>
        <w:t xml:space="preserve"> </w:t>
      </w:r>
      <w:r>
        <w:rPr>
          <w:spacing w:val="1"/>
        </w:rPr>
        <w:t>reliably</w:t>
      </w:r>
      <w:r>
        <w:t>,</w:t>
      </w:r>
      <w:r>
        <w:rPr>
          <w:spacing w:val="43"/>
        </w:rPr>
        <w:t xml:space="preserve"> </w:t>
      </w:r>
      <w:r>
        <w:rPr>
          <w:spacing w:val="1"/>
          <w:w w:val="101"/>
        </w:rPr>
        <w:t xml:space="preserve">the </w:t>
      </w:r>
      <w:r>
        <w:t>product</w:t>
      </w:r>
      <w:r>
        <w:rPr>
          <w:spacing w:val="10"/>
        </w:rPr>
        <w:t xml:space="preserve"> </w:t>
      </w:r>
      <w:r>
        <w:rPr>
          <w:spacing w:val="1"/>
        </w:rPr>
        <w:t>o</w:t>
      </w:r>
      <w:r>
        <w:t>r</w:t>
      </w:r>
      <w:r>
        <w:rPr>
          <w:spacing w:val="6"/>
        </w:rPr>
        <w:t xml:space="preserve"> </w:t>
      </w:r>
      <w:r>
        <w:rPr>
          <w:spacing w:val="-1"/>
        </w:rPr>
        <w:t>proces</w:t>
      </w:r>
      <w:r>
        <w:t>s</w:t>
      </w:r>
      <w:r>
        <w:rPr>
          <w:spacing w:val="10"/>
        </w:rPr>
        <w:t xml:space="preserve"> </w:t>
      </w:r>
      <w:r>
        <w:rPr>
          <w:spacing w:val="1"/>
        </w:rPr>
        <w:t>i</w:t>
      </w:r>
      <w:r>
        <w:t>s</w:t>
      </w:r>
      <w:r>
        <w:rPr>
          <w:spacing w:val="7"/>
        </w:rPr>
        <w:t xml:space="preserve"> </w:t>
      </w:r>
      <w:r>
        <w:t>technically</w:t>
      </w:r>
      <w:r>
        <w:rPr>
          <w:spacing w:val="13"/>
        </w:rPr>
        <w:t xml:space="preserve"> </w:t>
      </w:r>
      <w:r>
        <w:rPr>
          <w:spacing w:val="-1"/>
        </w:rPr>
        <w:t>an</w:t>
      </w:r>
      <w:r>
        <w:t>d</w:t>
      </w:r>
      <w:r>
        <w:rPr>
          <w:spacing w:val="1"/>
        </w:rPr>
        <w:t xml:space="preserve"> commerciall</w:t>
      </w:r>
      <w:r>
        <w:t>y</w:t>
      </w:r>
      <w:r>
        <w:rPr>
          <w:spacing w:val="11"/>
        </w:rPr>
        <w:t xml:space="preserve"> </w:t>
      </w:r>
      <w:r>
        <w:t>feasible,</w:t>
      </w:r>
      <w:r>
        <w:rPr>
          <w:spacing w:val="5"/>
        </w:rPr>
        <w:t xml:space="preserve"> </w:t>
      </w:r>
      <w:r>
        <w:t>future</w:t>
      </w:r>
      <w:r>
        <w:rPr>
          <w:spacing w:val="3"/>
        </w:rPr>
        <w:t xml:space="preserve"> </w:t>
      </w:r>
      <w:r>
        <w:t>economic</w:t>
      </w:r>
      <w:r>
        <w:rPr>
          <w:spacing w:val="7"/>
        </w:rPr>
        <w:t xml:space="preserve"> </w:t>
      </w:r>
      <w:r>
        <w:rPr>
          <w:spacing w:val="-1"/>
        </w:rPr>
        <w:t>benefit</w:t>
      </w:r>
      <w:r>
        <w:t>s</w:t>
      </w:r>
      <w:r>
        <w:rPr>
          <w:spacing w:val="5"/>
        </w:rPr>
        <w:t xml:space="preserve"> </w:t>
      </w:r>
      <w:r>
        <w:rPr>
          <w:spacing w:val="-1"/>
        </w:rPr>
        <w:t>ar</w:t>
      </w:r>
      <w:r>
        <w:t>e probable,</w:t>
      </w:r>
      <w:r>
        <w:rPr>
          <w:spacing w:val="6"/>
        </w:rPr>
        <w:t xml:space="preserve"> </w:t>
      </w:r>
      <w:r>
        <w:rPr>
          <w:spacing w:val="-1"/>
        </w:rPr>
        <w:t>an</w:t>
      </w:r>
      <w:r>
        <w:t>d</w:t>
      </w:r>
      <w:r>
        <w:rPr>
          <w:spacing w:val="1"/>
        </w:rPr>
        <w:t xml:space="preserve"> </w:t>
      </w:r>
      <w:r>
        <w:rPr>
          <w:spacing w:val="1"/>
          <w:w w:val="101"/>
        </w:rPr>
        <w:t xml:space="preserve">the </w:t>
      </w:r>
      <w:r>
        <w:t>Company</w:t>
      </w:r>
      <w:r>
        <w:rPr>
          <w:spacing w:val="35"/>
        </w:rPr>
        <w:t xml:space="preserve"> </w:t>
      </w:r>
      <w:r>
        <w:t>intends</w:t>
      </w:r>
      <w:r>
        <w:rPr>
          <w:spacing w:val="32"/>
        </w:rPr>
        <w:t xml:space="preserve"> </w:t>
      </w:r>
      <w:r>
        <w:rPr>
          <w:spacing w:val="1"/>
        </w:rPr>
        <w:t>t</w:t>
      </w:r>
      <w:r>
        <w:t>o</w:t>
      </w:r>
      <w:r>
        <w:rPr>
          <w:spacing w:val="29"/>
        </w:rPr>
        <w:t xml:space="preserve"> </w:t>
      </w:r>
      <w:r>
        <w:rPr>
          <w:spacing w:val="-1"/>
        </w:rPr>
        <w:t>an</w:t>
      </w:r>
      <w:r>
        <w:t>d</w:t>
      </w:r>
      <w:r>
        <w:rPr>
          <w:spacing w:val="29"/>
        </w:rPr>
        <w:t xml:space="preserve"> </w:t>
      </w:r>
      <w:r>
        <w:t>has</w:t>
      </w:r>
      <w:r>
        <w:rPr>
          <w:spacing w:val="29"/>
        </w:rPr>
        <w:t xml:space="preserve"> </w:t>
      </w:r>
      <w:r>
        <w:rPr>
          <w:spacing w:val="1"/>
        </w:rPr>
        <w:t>sufficien</w:t>
      </w:r>
      <w:r>
        <w:t>t</w:t>
      </w:r>
      <w:r>
        <w:rPr>
          <w:spacing w:val="34"/>
        </w:rPr>
        <w:t xml:space="preserve"> </w:t>
      </w:r>
      <w:r>
        <w:rPr>
          <w:spacing w:val="-1"/>
        </w:rPr>
        <w:t>resource</w:t>
      </w:r>
      <w:r>
        <w:t>s</w:t>
      </w:r>
      <w:r>
        <w:rPr>
          <w:spacing w:val="34"/>
        </w:rPr>
        <w:t xml:space="preserve"> </w:t>
      </w:r>
      <w:r>
        <w:rPr>
          <w:spacing w:val="1"/>
        </w:rPr>
        <w:t>t</w:t>
      </w:r>
      <w:r>
        <w:t>o</w:t>
      </w:r>
      <w:r>
        <w:rPr>
          <w:spacing w:val="29"/>
        </w:rPr>
        <w:t xml:space="preserve"> </w:t>
      </w:r>
      <w:r>
        <w:t>complete</w:t>
      </w:r>
      <w:r>
        <w:rPr>
          <w:spacing w:val="34"/>
        </w:rPr>
        <w:t xml:space="preserve"> </w:t>
      </w:r>
      <w:r>
        <w:rPr>
          <w:spacing w:val="-1"/>
        </w:rPr>
        <w:t>developmen</w:t>
      </w:r>
      <w:r>
        <w:t>t</w:t>
      </w:r>
      <w:r>
        <w:rPr>
          <w:spacing w:val="36"/>
        </w:rPr>
        <w:t xml:space="preserve"> </w:t>
      </w:r>
      <w:r>
        <w:rPr>
          <w:spacing w:val="-1"/>
        </w:rPr>
        <w:t>an</w:t>
      </w:r>
      <w:r>
        <w:t>d</w:t>
      </w:r>
      <w:r>
        <w:rPr>
          <w:spacing w:val="29"/>
        </w:rPr>
        <w:t xml:space="preserve"> </w:t>
      </w:r>
      <w:r>
        <w:rPr>
          <w:spacing w:val="1"/>
        </w:rPr>
        <w:t>t</w:t>
      </w:r>
      <w:r>
        <w:t>o</w:t>
      </w:r>
      <w:r>
        <w:rPr>
          <w:spacing w:val="29"/>
        </w:rPr>
        <w:t xml:space="preserve"> </w:t>
      </w:r>
      <w:r>
        <w:t>use</w:t>
      </w:r>
      <w:r>
        <w:rPr>
          <w:spacing w:val="28"/>
        </w:rPr>
        <w:t xml:space="preserve"> </w:t>
      </w:r>
      <w:r>
        <w:rPr>
          <w:spacing w:val="1"/>
        </w:rPr>
        <w:t>o</w:t>
      </w:r>
      <w:r>
        <w:t>r</w:t>
      </w:r>
      <w:r>
        <w:rPr>
          <w:spacing w:val="29"/>
        </w:rPr>
        <w:t xml:space="preserve"> </w:t>
      </w:r>
      <w:r>
        <w:t>sell</w:t>
      </w:r>
      <w:r>
        <w:rPr>
          <w:spacing w:val="25"/>
        </w:rPr>
        <w:t xml:space="preserve"> </w:t>
      </w:r>
      <w:r>
        <w:rPr>
          <w:spacing w:val="-1"/>
        </w:rPr>
        <w:t>th</w:t>
      </w:r>
      <w:r>
        <w:t>e</w:t>
      </w:r>
      <w:r>
        <w:rPr>
          <w:spacing w:val="23"/>
        </w:rPr>
        <w:t xml:space="preserve"> </w:t>
      </w:r>
      <w:r>
        <w:t xml:space="preserve">asset. </w:t>
      </w:r>
      <w:r>
        <w:rPr>
          <w:spacing w:val="49"/>
        </w:rPr>
        <w:t xml:space="preserve"> </w:t>
      </w:r>
      <w:r>
        <w:rPr>
          <w:w w:val="101"/>
        </w:rPr>
        <w:t xml:space="preserve">No </w:t>
      </w:r>
      <w:r>
        <w:t>development</w:t>
      </w:r>
      <w:r>
        <w:rPr>
          <w:spacing w:val="10"/>
        </w:rPr>
        <w:t xml:space="preserve"> </w:t>
      </w:r>
      <w:r>
        <w:t>costs</w:t>
      </w:r>
      <w:r>
        <w:rPr>
          <w:spacing w:val="4"/>
        </w:rPr>
        <w:t xml:space="preserve"> </w:t>
      </w:r>
      <w:r>
        <w:t>have</w:t>
      </w:r>
      <w:r>
        <w:rPr>
          <w:spacing w:val="4"/>
        </w:rPr>
        <w:t xml:space="preserve"> </w:t>
      </w:r>
      <w:r>
        <w:t>been</w:t>
      </w:r>
      <w:r>
        <w:rPr>
          <w:spacing w:val="4"/>
        </w:rPr>
        <w:t xml:space="preserve"> </w:t>
      </w:r>
      <w:r>
        <w:t>capitalized</w:t>
      </w:r>
      <w:r>
        <w:rPr>
          <w:spacing w:val="8"/>
        </w:rPr>
        <w:t xml:space="preserve"> </w:t>
      </w:r>
      <w:r>
        <w:t>to</w:t>
      </w:r>
      <w:r>
        <w:rPr>
          <w:spacing w:val="1"/>
        </w:rPr>
        <w:t xml:space="preserve"> </w:t>
      </w:r>
      <w:r>
        <w:rPr>
          <w:w w:val="101"/>
        </w:rPr>
        <w:t>date.</w:t>
      </w:r>
    </w:p>
    <w:p w14:paraId="27DC3EE3" w14:textId="77777777" w:rsidR="003B1595" w:rsidRDefault="003B1595" w:rsidP="00E02F42">
      <w:pPr>
        <w:pStyle w:val="Note-Sub-heading2"/>
      </w:pPr>
      <w:r>
        <w:rPr>
          <w:spacing w:val="2"/>
        </w:rPr>
        <w:t>(ii</w:t>
      </w:r>
      <w:r>
        <w:t>)</w:t>
      </w:r>
      <w:r w:rsidR="00E02F42">
        <w:tab/>
      </w:r>
      <w:r>
        <w:t>Patents</w:t>
      </w:r>
      <w:r>
        <w:rPr>
          <w:spacing w:val="7"/>
        </w:rPr>
        <w:t xml:space="preserve"> </w:t>
      </w:r>
      <w:r>
        <w:t>and</w:t>
      </w:r>
      <w:r>
        <w:rPr>
          <w:spacing w:val="4"/>
        </w:rPr>
        <w:t xml:space="preserve"> </w:t>
      </w:r>
      <w:r>
        <w:rPr>
          <w:w w:val="101"/>
        </w:rPr>
        <w:t>trademarks</w:t>
      </w:r>
    </w:p>
    <w:p w14:paraId="476552EC" w14:textId="77777777" w:rsidR="003B1595" w:rsidRPr="00E02F42" w:rsidRDefault="003B1595" w:rsidP="00E02F42">
      <w:pPr>
        <w:pStyle w:val="Note-Sub-normal2"/>
      </w:pPr>
      <w:r w:rsidRPr="00E02F42">
        <w:t>Costs incurred in obtaining a patent are capitalized and amortized on a straight-line basis over the legal life of th</w:t>
      </w:r>
      <w:r w:rsidR="00417069">
        <w:t>e</w:t>
      </w:r>
      <w:r w:rsidRPr="00E02F42">
        <w:t xml:space="preserve"> respectiv</w:t>
      </w:r>
      <w:r w:rsidR="00417069">
        <w:t>e</w:t>
      </w:r>
      <w:r w:rsidRPr="00E02F42">
        <w:t xml:space="preserve"> </w:t>
      </w:r>
      <w:r w:rsidR="00203D23">
        <w:t>patent</w:t>
      </w:r>
      <w:r w:rsidR="00417069">
        <w:t>,</w:t>
      </w:r>
      <w:r w:rsidRPr="00E02F42">
        <w:t xml:space="preserve"> bein</w:t>
      </w:r>
      <w:r w:rsidR="00417069">
        <w:t>g</w:t>
      </w:r>
      <w:r w:rsidRPr="00E02F42">
        <w:t xml:space="preserve"> </w:t>
      </w:r>
      <w:r w:rsidR="00417069">
        <w:t>approximately</w:t>
      </w:r>
      <w:r w:rsidRPr="00E02F42">
        <w:t xml:space="preserve"> twent</w:t>
      </w:r>
      <w:r w:rsidR="00417069">
        <w:t>y</w:t>
      </w:r>
      <w:r w:rsidRPr="00E02F42">
        <w:t xml:space="preserve"> </w:t>
      </w:r>
      <w:r w:rsidR="00417069">
        <w:t>years,</w:t>
      </w:r>
      <w:r w:rsidRPr="00E02F42">
        <w:t xml:space="preserve"> o</w:t>
      </w:r>
      <w:r w:rsidR="00417069">
        <w:t>r</w:t>
      </w:r>
      <w:r w:rsidRPr="00E02F42">
        <w:t xml:space="preserve"> it</w:t>
      </w:r>
      <w:r w:rsidR="00417069">
        <w:t>s</w:t>
      </w:r>
      <w:r w:rsidRPr="00E02F42">
        <w:t xml:space="preserve"> </w:t>
      </w:r>
      <w:r w:rsidR="00417069">
        <w:t>economic</w:t>
      </w:r>
      <w:r w:rsidRPr="00E02F42">
        <w:t xml:space="preserve"> life, i</w:t>
      </w:r>
      <w:r w:rsidR="00417069">
        <w:t>f</w:t>
      </w:r>
      <w:r w:rsidRPr="00E02F42">
        <w:t xml:space="preserve"> shorter. Trademarks hav</w:t>
      </w:r>
      <w:r w:rsidR="00332662" w:rsidRPr="00E02F42">
        <w:t>e</w:t>
      </w:r>
      <w:r w:rsidRPr="00E02F42">
        <w:t xml:space="preserve"> a</w:t>
      </w:r>
      <w:r w:rsidR="00332662" w:rsidRPr="00E02F42">
        <w:t>n</w:t>
      </w:r>
      <w:r w:rsidRPr="00E02F42">
        <w:t xml:space="preserve"> </w:t>
      </w:r>
      <w:r w:rsidR="00332662" w:rsidRPr="00E02F42">
        <w:t xml:space="preserve">indefinite </w:t>
      </w:r>
      <w:r w:rsidRPr="00E02F42">
        <w:t>life</w:t>
      </w:r>
      <w:r w:rsidR="00417069">
        <w:t>.</w:t>
      </w:r>
      <w:r w:rsidRPr="00E02F42">
        <w:t xml:space="preserve">  Costs </w:t>
      </w:r>
      <w:r w:rsidR="00417069">
        <w:t>incurred</w:t>
      </w:r>
      <w:r w:rsidRPr="00E02F42">
        <w:t xml:space="preserve"> i</w:t>
      </w:r>
      <w:r w:rsidR="00417069">
        <w:t>n</w:t>
      </w:r>
      <w:r w:rsidRPr="00E02F42">
        <w:t xml:space="preserve"> successfully </w:t>
      </w:r>
      <w:r w:rsidR="00417069">
        <w:t>obtaining</w:t>
      </w:r>
      <w:r w:rsidRPr="00E02F42">
        <w:t xml:space="preserve"> a paten</w:t>
      </w:r>
      <w:r w:rsidR="00417069">
        <w:t>t</w:t>
      </w:r>
      <w:r w:rsidRPr="00E02F42">
        <w:t xml:space="preserve"> o</w:t>
      </w:r>
      <w:r w:rsidR="00417069">
        <w:t>r</w:t>
      </w:r>
      <w:r w:rsidRPr="00E02F42">
        <w:t xml:space="preserve"> trademar</w:t>
      </w:r>
      <w:r w:rsidR="00417069">
        <w:t>k</w:t>
      </w:r>
      <w:r w:rsidRPr="00E02F42">
        <w:t xml:space="preserve"> are measured at cost less accumulated amortization and accumulated impairment losses.  The cost of servicing the Company's patents and trademarks is expensed as incurred.</w:t>
      </w:r>
    </w:p>
    <w:p w14:paraId="152AF404" w14:textId="77777777" w:rsidR="003B1595" w:rsidRDefault="003B1595" w:rsidP="00E02F42">
      <w:pPr>
        <w:pStyle w:val="Note-Sub-heading2"/>
      </w:pPr>
      <w:r>
        <w:rPr>
          <w:spacing w:val="2"/>
        </w:rPr>
        <w:t>(iii</w:t>
      </w:r>
      <w:r>
        <w:t>)</w:t>
      </w:r>
      <w:r w:rsidR="00E02F42">
        <w:tab/>
      </w:r>
      <w:r>
        <w:t>Technology</w:t>
      </w:r>
      <w:r>
        <w:rPr>
          <w:spacing w:val="10"/>
        </w:rPr>
        <w:t xml:space="preserve"> </w:t>
      </w:r>
      <w:r>
        <w:rPr>
          <w:w w:val="101"/>
        </w:rPr>
        <w:t>licenses</w:t>
      </w:r>
    </w:p>
    <w:p w14:paraId="2BDFED7C" w14:textId="77777777" w:rsidR="00F97A09" w:rsidRDefault="003B1595" w:rsidP="00FD3273">
      <w:pPr>
        <w:pStyle w:val="Note-Sub-normal2"/>
        <w:rPr>
          <w:w w:val="101"/>
        </w:rPr>
      </w:pPr>
      <w:r w:rsidRPr="00023DAB">
        <w:rPr>
          <w:spacing w:val="-1"/>
        </w:rPr>
        <w:t>Technolog</w:t>
      </w:r>
      <w:r w:rsidRPr="00023DAB">
        <w:t xml:space="preserve">y </w:t>
      </w:r>
      <w:r w:rsidRPr="00023DAB">
        <w:rPr>
          <w:spacing w:val="-1"/>
        </w:rPr>
        <w:t>license</w:t>
      </w:r>
      <w:r w:rsidRPr="00023DAB">
        <w:t xml:space="preserve">s </w:t>
      </w:r>
      <w:r w:rsidRPr="00023DAB">
        <w:rPr>
          <w:spacing w:val="-1"/>
        </w:rPr>
        <w:t>ar</w:t>
      </w:r>
      <w:r w:rsidRPr="00023DAB">
        <w:t xml:space="preserve">e </w:t>
      </w:r>
      <w:r w:rsidRPr="00023DAB">
        <w:rPr>
          <w:spacing w:val="-1"/>
        </w:rPr>
        <w:t>recorde</w:t>
      </w:r>
      <w:r w:rsidR="003828FB" w:rsidRPr="00023DAB">
        <w:t>d</w:t>
      </w:r>
      <w:r w:rsidRPr="00023DAB">
        <w:rPr>
          <w:spacing w:val="8"/>
        </w:rPr>
        <w:t xml:space="preserve"> </w:t>
      </w:r>
      <w:r w:rsidRPr="00023DAB">
        <w:rPr>
          <w:spacing w:val="1"/>
        </w:rPr>
        <w:t>a</w:t>
      </w:r>
      <w:r w:rsidRPr="00023DAB">
        <w:t xml:space="preserve">t </w:t>
      </w:r>
      <w:r w:rsidRPr="00023DAB">
        <w:rPr>
          <w:spacing w:val="1"/>
        </w:rPr>
        <w:t>cost</w:t>
      </w:r>
      <w:r w:rsidR="00023DAB" w:rsidRPr="00023DAB">
        <w:rPr>
          <w:spacing w:val="1"/>
        </w:rPr>
        <w:t xml:space="preserve"> less accumulated impairment losses</w:t>
      </w:r>
      <w:r w:rsidR="00417069" w:rsidRPr="00023DAB">
        <w:t xml:space="preserve">. </w:t>
      </w:r>
      <w:r w:rsidRPr="00023DAB">
        <w:rPr>
          <w:spacing w:val="12"/>
        </w:rPr>
        <w:t xml:space="preserve"> </w:t>
      </w:r>
      <w:r w:rsidRPr="00023DAB">
        <w:rPr>
          <w:spacing w:val="-1"/>
        </w:rPr>
        <w:t>T</w:t>
      </w:r>
      <w:r w:rsidRPr="00023DAB">
        <w:rPr>
          <w:spacing w:val="-3"/>
        </w:rPr>
        <w:t>h</w:t>
      </w:r>
      <w:r w:rsidRPr="00023DAB">
        <w:t xml:space="preserve">e cost </w:t>
      </w:r>
      <w:r w:rsidRPr="00023DAB">
        <w:rPr>
          <w:spacing w:val="1"/>
        </w:rPr>
        <w:t>o</w:t>
      </w:r>
      <w:r w:rsidRPr="00023DAB">
        <w:t xml:space="preserve">f technology </w:t>
      </w:r>
      <w:r w:rsidRPr="00023DAB">
        <w:rPr>
          <w:spacing w:val="-1"/>
        </w:rPr>
        <w:t>licence</w:t>
      </w:r>
      <w:r w:rsidRPr="00023DAB">
        <w:t xml:space="preserve">s </w:t>
      </w:r>
      <w:r w:rsidRPr="00023DAB">
        <w:rPr>
          <w:spacing w:val="1"/>
        </w:rPr>
        <w:t>wil</w:t>
      </w:r>
      <w:r w:rsidRPr="00023DAB">
        <w:t>l</w:t>
      </w:r>
      <w:r w:rsidRPr="00023DAB">
        <w:rPr>
          <w:spacing w:val="6"/>
        </w:rPr>
        <w:t xml:space="preserve"> </w:t>
      </w:r>
      <w:r w:rsidRPr="00023DAB">
        <w:rPr>
          <w:spacing w:val="-3"/>
        </w:rPr>
        <w:t>b</w:t>
      </w:r>
      <w:r w:rsidRPr="00023DAB">
        <w:t>e</w:t>
      </w:r>
      <w:r w:rsidRPr="00023DAB">
        <w:rPr>
          <w:spacing w:val="1"/>
        </w:rPr>
        <w:t xml:space="preserve"> </w:t>
      </w:r>
      <w:r w:rsidRPr="00023DAB">
        <w:t>amortized</w:t>
      </w:r>
      <w:r w:rsidRPr="00023DAB">
        <w:rPr>
          <w:spacing w:val="5"/>
        </w:rPr>
        <w:t xml:space="preserve"> </w:t>
      </w:r>
      <w:r w:rsidRPr="00023DAB">
        <w:rPr>
          <w:spacing w:val="-1"/>
        </w:rPr>
        <w:t>ove</w:t>
      </w:r>
      <w:r w:rsidRPr="00023DAB">
        <w:t xml:space="preserve">r </w:t>
      </w:r>
      <w:r w:rsidRPr="00023DAB">
        <w:rPr>
          <w:w w:val="101"/>
        </w:rPr>
        <w:t xml:space="preserve">their </w:t>
      </w:r>
      <w:r w:rsidRPr="00023DAB">
        <w:t>estimated</w:t>
      </w:r>
      <w:r w:rsidRPr="00023DAB">
        <w:rPr>
          <w:spacing w:val="11"/>
        </w:rPr>
        <w:t xml:space="preserve"> </w:t>
      </w:r>
      <w:r w:rsidRPr="00023DAB">
        <w:t>useful</w:t>
      </w:r>
      <w:r w:rsidRPr="00023DAB">
        <w:rPr>
          <w:spacing w:val="8"/>
        </w:rPr>
        <w:t xml:space="preserve"> </w:t>
      </w:r>
      <w:r w:rsidRPr="00023DAB">
        <w:rPr>
          <w:spacing w:val="1"/>
        </w:rPr>
        <w:t>lif</w:t>
      </w:r>
      <w:r w:rsidRPr="00023DAB">
        <w:t>e</w:t>
      </w:r>
      <w:r w:rsidRPr="00023DAB">
        <w:rPr>
          <w:spacing w:val="7"/>
        </w:rPr>
        <w:t xml:space="preserve"> </w:t>
      </w:r>
      <w:r w:rsidRPr="00023DAB">
        <w:rPr>
          <w:spacing w:val="1"/>
        </w:rPr>
        <w:t>commencin</w:t>
      </w:r>
      <w:r w:rsidRPr="00023DAB">
        <w:t>g</w:t>
      </w:r>
      <w:r w:rsidRPr="00023DAB">
        <w:rPr>
          <w:spacing w:val="10"/>
        </w:rPr>
        <w:t xml:space="preserve"> </w:t>
      </w:r>
      <w:r w:rsidRPr="00023DAB">
        <w:rPr>
          <w:spacing w:val="1"/>
        </w:rPr>
        <w:t>i</w:t>
      </w:r>
      <w:r w:rsidRPr="00023DAB">
        <w:t>n</w:t>
      </w:r>
      <w:r w:rsidRPr="00023DAB">
        <w:rPr>
          <w:spacing w:val="1"/>
        </w:rPr>
        <w:t xml:space="preserve"> </w:t>
      </w:r>
      <w:r w:rsidRPr="00023DAB">
        <w:rPr>
          <w:spacing w:val="-1"/>
        </w:rPr>
        <w:t>th</w:t>
      </w:r>
      <w:r w:rsidRPr="00023DAB">
        <w:t xml:space="preserve">e </w:t>
      </w:r>
      <w:r w:rsidRPr="00023DAB">
        <w:rPr>
          <w:spacing w:val="-1"/>
        </w:rPr>
        <w:t>perio</w:t>
      </w:r>
      <w:r w:rsidRPr="00023DAB">
        <w:t>d</w:t>
      </w:r>
      <w:r w:rsidRPr="00023DAB">
        <w:rPr>
          <w:spacing w:val="3"/>
        </w:rPr>
        <w:t xml:space="preserve"> </w:t>
      </w:r>
      <w:r w:rsidRPr="00023DAB">
        <w:rPr>
          <w:spacing w:val="1"/>
        </w:rPr>
        <w:t>i</w:t>
      </w:r>
      <w:r w:rsidRPr="00023DAB">
        <w:t>n</w:t>
      </w:r>
      <w:r w:rsidRPr="00023DAB">
        <w:rPr>
          <w:spacing w:val="1"/>
        </w:rPr>
        <w:t xml:space="preserve"> </w:t>
      </w:r>
      <w:r w:rsidRPr="00023DAB">
        <w:t>which</w:t>
      </w:r>
      <w:r w:rsidRPr="00023DAB">
        <w:rPr>
          <w:spacing w:val="3"/>
        </w:rPr>
        <w:t xml:space="preserve"> </w:t>
      </w:r>
      <w:r w:rsidRPr="00023DAB">
        <w:rPr>
          <w:spacing w:val="-1"/>
        </w:rPr>
        <w:t>th</w:t>
      </w:r>
      <w:r w:rsidRPr="00023DAB">
        <w:t>e product</w:t>
      </w:r>
      <w:r w:rsidRPr="00023DAB">
        <w:rPr>
          <w:spacing w:val="5"/>
        </w:rPr>
        <w:t xml:space="preserve"> </w:t>
      </w:r>
      <w:r w:rsidRPr="00023DAB">
        <w:rPr>
          <w:spacing w:val="1"/>
        </w:rPr>
        <w:t>i</w:t>
      </w:r>
      <w:r w:rsidRPr="00023DAB">
        <w:t>s</w:t>
      </w:r>
      <w:r w:rsidRPr="00023DAB">
        <w:rPr>
          <w:spacing w:val="2"/>
        </w:rPr>
        <w:t xml:space="preserve"> </w:t>
      </w:r>
      <w:r w:rsidRPr="00023DAB">
        <w:rPr>
          <w:spacing w:val="1"/>
        </w:rPr>
        <w:t>commerciall</w:t>
      </w:r>
      <w:r w:rsidRPr="00023DAB">
        <w:t>y</w:t>
      </w:r>
      <w:r w:rsidRPr="00023DAB">
        <w:rPr>
          <w:spacing w:val="11"/>
        </w:rPr>
        <w:t xml:space="preserve"> </w:t>
      </w:r>
      <w:r w:rsidRPr="00023DAB">
        <w:rPr>
          <w:spacing w:val="-1"/>
        </w:rPr>
        <w:t>launche</w:t>
      </w:r>
      <w:r w:rsidRPr="00023DAB">
        <w:t>d</w:t>
      </w:r>
      <w:r w:rsidRPr="00023DAB">
        <w:rPr>
          <w:spacing w:val="6"/>
        </w:rPr>
        <w:t xml:space="preserve"> </w:t>
      </w:r>
      <w:r w:rsidRPr="00023DAB">
        <w:rPr>
          <w:spacing w:val="-1"/>
        </w:rPr>
        <w:t>an</w:t>
      </w:r>
      <w:r w:rsidRPr="00023DAB">
        <w:t>d</w:t>
      </w:r>
      <w:r w:rsidRPr="00023DAB">
        <w:rPr>
          <w:spacing w:val="1"/>
        </w:rPr>
        <w:t xml:space="preserve"> </w:t>
      </w:r>
      <w:r w:rsidRPr="00023DAB">
        <w:rPr>
          <w:spacing w:val="-1"/>
        </w:rPr>
        <w:t>sale</w:t>
      </w:r>
      <w:r w:rsidRPr="00023DAB">
        <w:t>s</w:t>
      </w:r>
      <w:r w:rsidRPr="00023DAB">
        <w:rPr>
          <w:spacing w:val="3"/>
        </w:rPr>
        <w:t xml:space="preserve"> </w:t>
      </w:r>
      <w:r w:rsidRPr="00023DAB">
        <w:rPr>
          <w:spacing w:val="1"/>
        </w:rPr>
        <w:t>o</w:t>
      </w:r>
      <w:r w:rsidRPr="00023DAB">
        <w:t>f</w:t>
      </w:r>
      <w:r w:rsidRPr="00023DAB">
        <w:rPr>
          <w:spacing w:val="1"/>
        </w:rPr>
        <w:t xml:space="preserve"> </w:t>
      </w:r>
      <w:r w:rsidRPr="00023DAB">
        <w:rPr>
          <w:spacing w:val="1"/>
          <w:w w:val="101"/>
        </w:rPr>
        <w:t xml:space="preserve">the </w:t>
      </w:r>
      <w:r w:rsidRPr="00023DAB">
        <w:t>licensed</w:t>
      </w:r>
      <w:r w:rsidRPr="00023DAB">
        <w:rPr>
          <w:spacing w:val="7"/>
        </w:rPr>
        <w:t xml:space="preserve"> </w:t>
      </w:r>
      <w:r w:rsidRPr="00023DAB">
        <w:t>products</w:t>
      </w:r>
      <w:r w:rsidRPr="00023DAB">
        <w:rPr>
          <w:spacing w:val="7"/>
        </w:rPr>
        <w:t xml:space="preserve"> </w:t>
      </w:r>
      <w:r w:rsidRPr="00023DAB">
        <w:t>are</w:t>
      </w:r>
      <w:r w:rsidRPr="00023DAB">
        <w:rPr>
          <w:spacing w:val="3"/>
        </w:rPr>
        <w:t xml:space="preserve"> </w:t>
      </w:r>
      <w:r w:rsidRPr="00023DAB">
        <w:t>first</w:t>
      </w:r>
      <w:r w:rsidRPr="00023DAB">
        <w:rPr>
          <w:spacing w:val="3"/>
        </w:rPr>
        <w:t xml:space="preserve"> </w:t>
      </w:r>
      <w:r w:rsidRPr="00023DAB">
        <w:rPr>
          <w:w w:val="101"/>
        </w:rPr>
        <w:t>earned.</w:t>
      </w:r>
    </w:p>
    <w:p w14:paraId="48A67215" w14:textId="77777777" w:rsidR="003B1595" w:rsidRDefault="00FD3273" w:rsidP="00FD3273">
      <w:pPr>
        <w:pStyle w:val="Note-Sub-heading2"/>
        <w:ind w:left="0"/>
      </w:pPr>
      <w:r>
        <w:rPr>
          <w:spacing w:val="1"/>
        </w:rPr>
        <w:tab/>
      </w:r>
      <w:r w:rsidR="003B1595">
        <w:rPr>
          <w:spacing w:val="1"/>
        </w:rPr>
        <w:t>(iv</w:t>
      </w:r>
      <w:r w:rsidR="003B1595">
        <w:t>)</w:t>
      </w:r>
      <w:r w:rsidR="00E02F42">
        <w:tab/>
      </w:r>
      <w:r w:rsidR="003B1595">
        <w:t>Subsequent</w:t>
      </w:r>
      <w:r w:rsidR="003B1595">
        <w:rPr>
          <w:spacing w:val="10"/>
        </w:rPr>
        <w:t xml:space="preserve"> </w:t>
      </w:r>
      <w:r w:rsidR="003B1595">
        <w:rPr>
          <w:w w:val="101"/>
        </w:rPr>
        <w:t>expenditure</w:t>
      </w:r>
    </w:p>
    <w:p w14:paraId="347366C6" w14:textId="77777777" w:rsidR="00236AEF" w:rsidRDefault="003B1595" w:rsidP="00236AEF">
      <w:pPr>
        <w:pStyle w:val="Note-Sub-normal2"/>
      </w:pPr>
      <w:r>
        <w:rPr>
          <w:spacing w:val="-1"/>
        </w:rPr>
        <w:t>Subsequen</w:t>
      </w:r>
      <w:r>
        <w:t>t</w:t>
      </w:r>
      <w:r>
        <w:rPr>
          <w:spacing w:val="50"/>
        </w:rPr>
        <w:t xml:space="preserve"> </w:t>
      </w:r>
      <w:r>
        <w:t>expenditure</w:t>
      </w:r>
      <w:r w:rsidR="00DD4A91">
        <w:t>s</w:t>
      </w:r>
      <w:r>
        <w:rPr>
          <w:spacing w:val="49"/>
        </w:rPr>
        <w:t xml:space="preserve"> </w:t>
      </w:r>
      <w:r w:rsidR="00DD4A91">
        <w:rPr>
          <w:spacing w:val="1"/>
        </w:rPr>
        <w:t>are</w:t>
      </w:r>
      <w:r>
        <w:rPr>
          <w:spacing w:val="43"/>
        </w:rPr>
        <w:t xml:space="preserve"> </w:t>
      </w:r>
      <w:r>
        <w:t>capitalized</w:t>
      </w:r>
      <w:r>
        <w:rPr>
          <w:spacing w:val="50"/>
        </w:rPr>
        <w:t xml:space="preserve"> </w:t>
      </w:r>
      <w:r>
        <w:t>only</w:t>
      </w:r>
      <w:r>
        <w:rPr>
          <w:spacing w:val="40"/>
        </w:rPr>
        <w:t xml:space="preserve"> </w:t>
      </w:r>
      <w:r>
        <w:t>when</w:t>
      </w:r>
      <w:r>
        <w:rPr>
          <w:spacing w:val="38"/>
        </w:rPr>
        <w:t xml:space="preserve"> </w:t>
      </w:r>
      <w:r>
        <w:rPr>
          <w:spacing w:val="2"/>
        </w:rPr>
        <w:t>i</w:t>
      </w:r>
      <w:r>
        <w:t>t</w:t>
      </w:r>
      <w:r>
        <w:rPr>
          <w:spacing w:val="40"/>
        </w:rPr>
        <w:t xml:space="preserve"> </w:t>
      </w:r>
      <w:r>
        <w:rPr>
          <w:spacing w:val="-1"/>
        </w:rPr>
        <w:t>increase</w:t>
      </w:r>
      <w:r>
        <w:t>s</w:t>
      </w:r>
      <w:r>
        <w:rPr>
          <w:spacing w:val="44"/>
        </w:rPr>
        <w:t xml:space="preserve"> </w:t>
      </w:r>
      <w:r>
        <w:rPr>
          <w:spacing w:val="-1"/>
        </w:rPr>
        <w:t>th</w:t>
      </w:r>
      <w:r>
        <w:t>e</w:t>
      </w:r>
      <w:r>
        <w:rPr>
          <w:spacing w:val="38"/>
        </w:rPr>
        <w:t xml:space="preserve"> </w:t>
      </w:r>
      <w:r>
        <w:t>future</w:t>
      </w:r>
      <w:r>
        <w:rPr>
          <w:spacing w:val="41"/>
        </w:rPr>
        <w:t xml:space="preserve"> </w:t>
      </w:r>
      <w:r>
        <w:t>economic</w:t>
      </w:r>
      <w:r>
        <w:rPr>
          <w:spacing w:val="45"/>
        </w:rPr>
        <w:t xml:space="preserve"> </w:t>
      </w:r>
      <w:r>
        <w:rPr>
          <w:spacing w:val="-1"/>
        </w:rPr>
        <w:t>benefit</w:t>
      </w:r>
      <w:r>
        <w:t>s</w:t>
      </w:r>
      <w:r>
        <w:rPr>
          <w:spacing w:val="42"/>
        </w:rPr>
        <w:t xml:space="preserve"> </w:t>
      </w:r>
      <w:r>
        <w:rPr>
          <w:spacing w:val="-5"/>
        </w:rPr>
        <w:t>e</w:t>
      </w:r>
      <w:r>
        <w:rPr>
          <w:spacing w:val="6"/>
        </w:rPr>
        <w:t>m</w:t>
      </w:r>
      <w:r>
        <w:rPr>
          <w:spacing w:val="-1"/>
        </w:rPr>
        <w:t>bodie</w:t>
      </w:r>
      <w:r>
        <w:t>d</w:t>
      </w:r>
      <w:r>
        <w:rPr>
          <w:spacing w:val="44"/>
        </w:rPr>
        <w:t xml:space="preserve"> </w:t>
      </w:r>
      <w:r>
        <w:rPr>
          <w:spacing w:val="1"/>
        </w:rPr>
        <w:t>i</w:t>
      </w:r>
      <w:r>
        <w:t>n</w:t>
      </w:r>
      <w:r>
        <w:rPr>
          <w:spacing w:val="38"/>
        </w:rPr>
        <w:t xml:space="preserve"> </w:t>
      </w:r>
      <w:r>
        <w:rPr>
          <w:spacing w:val="1"/>
          <w:w w:val="101"/>
        </w:rPr>
        <w:t xml:space="preserve">the </w:t>
      </w:r>
      <w:r>
        <w:t>specific</w:t>
      </w:r>
      <w:r>
        <w:rPr>
          <w:spacing w:val="7"/>
        </w:rPr>
        <w:t xml:space="preserve"> </w:t>
      </w:r>
      <w:r>
        <w:t>asset</w:t>
      </w:r>
      <w:r>
        <w:rPr>
          <w:spacing w:val="5"/>
        </w:rPr>
        <w:t xml:space="preserve"> </w:t>
      </w:r>
      <w:r>
        <w:t>to</w:t>
      </w:r>
      <w:r>
        <w:rPr>
          <w:spacing w:val="2"/>
        </w:rPr>
        <w:t xml:space="preserve"> </w:t>
      </w:r>
      <w:r>
        <w:t>which</w:t>
      </w:r>
      <w:r>
        <w:rPr>
          <w:spacing w:val="6"/>
        </w:rPr>
        <w:t xml:space="preserve"> </w:t>
      </w:r>
      <w:r>
        <w:t>it</w:t>
      </w:r>
      <w:r>
        <w:rPr>
          <w:spacing w:val="2"/>
        </w:rPr>
        <w:t xml:space="preserve"> </w:t>
      </w:r>
      <w:r>
        <w:t xml:space="preserve">relates. </w:t>
      </w:r>
      <w:r>
        <w:rPr>
          <w:spacing w:val="8"/>
        </w:rPr>
        <w:t xml:space="preserve"> </w:t>
      </w:r>
      <w:r>
        <w:t>All</w:t>
      </w:r>
      <w:r>
        <w:rPr>
          <w:spacing w:val="3"/>
        </w:rPr>
        <w:t xml:space="preserve"> </w:t>
      </w:r>
      <w:r>
        <w:t>other</w:t>
      </w:r>
      <w:r>
        <w:rPr>
          <w:spacing w:val="5"/>
        </w:rPr>
        <w:t xml:space="preserve"> </w:t>
      </w:r>
      <w:r>
        <w:t>expenditures</w:t>
      </w:r>
      <w:r>
        <w:rPr>
          <w:spacing w:val="11"/>
        </w:rPr>
        <w:t xml:space="preserve"> </w:t>
      </w:r>
      <w:r>
        <w:t>are</w:t>
      </w:r>
      <w:r>
        <w:rPr>
          <w:spacing w:val="4"/>
        </w:rPr>
        <w:t xml:space="preserve"> </w:t>
      </w:r>
      <w:r>
        <w:t>recognized</w:t>
      </w:r>
      <w:r>
        <w:rPr>
          <w:spacing w:val="10"/>
        </w:rPr>
        <w:t xml:space="preserve"> </w:t>
      </w:r>
      <w:r>
        <w:t>in</w:t>
      </w:r>
      <w:r>
        <w:rPr>
          <w:spacing w:val="2"/>
        </w:rPr>
        <w:t xml:space="preserve"> </w:t>
      </w:r>
      <w:r>
        <w:t>profit</w:t>
      </w:r>
      <w:r>
        <w:rPr>
          <w:spacing w:val="5"/>
        </w:rPr>
        <w:t xml:space="preserve"> </w:t>
      </w:r>
      <w:r>
        <w:t>or</w:t>
      </w:r>
      <w:r>
        <w:rPr>
          <w:spacing w:val="3"/>
        </w:rPr>
        <w:t xml:space="preserve"> </w:t>
      </w:r>
      <w:r>
        <w:t>loss</w:t>
      </w:r>
      <w:r>
        <w:rPr>
          <w:spacing w:val="4"/>
        </w:rPr>
        <w:t xml:space="preserve"> </w:t>
      </w:r>
      <w:r>
        <w:t>as</w:t>
      </w:r>
      <w:r>
        <w:rPr>
          <w:spacing w:val="3"/>
        </w:rPr>
        <w:t xml:space="preserve"> </w:t>
      </w:r>
      <w:r>
        <w:rPr>
          <w:w w:val="101"/>
        </w:rPr>
        <w:t>incurred.</w:t>
      </w:r>
    </w:p>
    <w:p w14:paraId="4A3A76EC" w14:textId="77777777" w:rsidR="00FD3273" w:rsidRDefault="00FD3273" w:rsidP="00236AEF">
      <w:pPr>
        <w:pStyle w:val="Note-Sub-heading"/>
      </w:pPr>
    </w:p>
    <w:p w14:paraId="3FF11007" w14:textId="77777777" w:rsidR="00FD3273" w:rsidRDefault="00FD3273" w:rsidP="00C417E7">
      <w:pPr>
        <w:pStyle w:val="Note-Sub-normal2"/>
        <w:ind w:left="0"/>
        <w:rPr>
          <w:b/>
          <w:bCs/>
          <w:spacing w:val="0"/>
        </w:rPr>
      </w:pPr>
    </w:p>
    <w:p w14:paraId="1E00C3A6" w14:textId="77777777" w:rsidR="00C417E7" w:rsidRPr="00FD3273" w:rsidRDefault="00C417E7" w:rsidP="00C417E7">
      <w:pPr>
        <w:pStyle w:val="Note-Sub-normal2"/>
        <w:ind w:left="0"/>
      </w:pPr>
    </w:p>
    <w:p w14:paraId="1E5E6863" w14:textId="77777777" w:rsidR="00FD3273" w:rsidRPr="003506D7" w:rsidRDefault="00FD3273" w:rsidP="00FD3273">
      <w:pPr>
        <w:pStyle w:val="Note-Sub-normal2"/>
        <w:ind w:left="0"/>
        <w:rPr>
          <w:b/>
        </w:rPr>
      </w:pPr>
      <w:r w:rsidRPr="006809F4">
        <w:rPr>
          <w:b/>
        </w:rPr>
        <w:t>3.  Significant accounting policies (continued):</w:t>
      </w:r>
    </w:p>
    <w:p w14:paraId="26D75078" w14:textId="0C07F9E3" w:rsidR="00DF5D26" w:rsidRPr="00236AEF" w:rsidRDefault="002E6B04" w:rsidP="00FD3273">
      <w:pPr>
        <w:pStyle w:val="Note-Sub-heading"/>
        <w:ind w:left="0"/>
      </w:pPr>
      <w:r>
        <w:t xml:space="preserve">   </w:t>
      </w:r>
      <w:r w:rsidR="00F97A09">
        <w:t>(g</w:t>
      </w:r>
      <w:r w:rsidR="00FD3273">
        <w:t xml:space="preserve">)  </w:t>
      </w:r>
      <w:r w:rsidR="00012A51">
        <w:t>Impairment</w:t>
      </w:r>
    </w:p>
    <w:p w14:paraId="2D36CF68" w14:textId="77777777" w:rsidR="00012A51" w:rsidRDefault="00DF5D26" w:rsidP="00E02F42">
      <w:pPr>
        <w:pStyle w:val="Note-Sub-heading2"/>
      </w:pPr>
      <w:r>
        <w:t>(i)</w:t>
      </w:r>
      <w:r w:rsidR="00E02F42">
        <w:rPr>
          <w:spacing w:val="4"/>
        </w:rPr>
        <w:tab/>
      </w:r>
      <w:r>
        <w:rPr>
          <w:spacing w:val="1"/>
        </w:rPr>
        <w:t>F</w:t>
      </w:r>
      <w:r w:rsidR="00012A51">
        <w:rPr>
          <w:spacing w:val="1"/>
        </w:rPr>
        <w:t>inancia</w:t>
      </w:r>
      <w:r w:rsidR="00012A51">
        <w:t>l</w:t>
      </w:r>
      <w:r w:rsidR="00012A51">
        <w:rPr>
          <w:spacing w:val="9"/>
        </w:rPr>
        <w:t xml:space="preserve"> </w:t>
      </w:r>
      <w:r w:rsidR="00012A51">
        <w:rPr>
          <w:spacing w:val="1"/>
          <w:w w:val="101"/>
        </w:rPr>
        <w:t>assets</w:t>
      </w:r>
    </w:p>
    <w:p w14:paraId="2ABF8B05" w14:textId="77777777" w:rsidR="00012A51" w:rsidRDefault="00012A51" w:rsidP="00E02F42">
      <w:pPr>
        <w:pStyle w:val="Note-Sub-normal2"/>
        <w:rPr>
          <w:spacing w:val="1"/>
          <w:w w:val="101"/>
        </w:rPr>
      </w:pPr>
      <w:r>
        <w:t>At</w:t>
      </w:r>
      <w:r>
        <w:rPr>
          <w:spacing w:val="15"/>
        </w:rPr>
        <w:t xml:space="preserve"> </w:t>
      </w:r>
      <w:r>
        <w:t>each</w:t>
      </w:r>
      <w:r>
        <w:rPr>
          <w:spacing w:val="15"/>
        </w:rPr>
        <w:t xml:space="preserve"> </w:t>
      </w:r>
      <w:r>
        <w:t>reporting</w:t>
      </w:r>
      <w:r>
        <w:rPr>
          <w:spacing w:val="20"/>
        </w:rPr>
        <w:t xml:space="preserve"> </w:t>
      </w:r>
      <w:r>
        <w:t>date,</w:t>
      </w:r>
      <w:r>
        <w:rPr>
          <w:spacing w:val="16"/>
        </w:rPr>
        <w:t xml:space="preserve"> </w:t>
      </w:r>
      <w:r>
        <w:rPr>
          <w:spacing w:val="-1"/>
        </w:rPr>
        <w:t>th</w:t>
      </w:r>
      <w:r>
        <w:t>e</w:t>
      </w:r>
      <w:r>
        <w:rPr>
          <w:spacing w:val="13"/>
        </w:rPr>
        <w:t xml:space="preserve"> </w:t>
      </w:r>
      <w:r>
        <w:t>Company</w:t>
      </w:r>
      <w:r>
        <w:rPr>
          <w:spacing w:val="21"/>
        </w:rPr>
        <w:t xml:space="preserve"> </w:t>
      </w:r>
      <w:r>
        <w:rPr>
          <w:spacing w:val="-1"/>
        </w:rPr>
        <w:t>assesse</w:t>
      </w:r>
      <w:r>
        <w:t>s</w:t>
      </w:r>
      <w:r>
        <w:rPr>
          <w:spacing w:val="18"/>
        </w:rPr>
        <w:t xml:space="preserve"> </w:t>
      </w:r>
      <w:r>
        <w:t>whether</w:t>
      </w:r>
      <w:r>
        <w:rPr>
          <w:spacing w:val="17"/>
        </w:rPr>
        <w:t xml:space="preserve"> </w:t>
      </w:r>
      <w:r>
        <w:rPr>
          <w:spacing w:val="1"/>
        </w:rPr>
        <w:t>ther</w:t>
      </w:r>
      <w:r>
        <w:t>e</w:t>
      </w:r>
      <w:r>
        <w:rPr>
          <w:spacing w:val="6"/>
        </w:rPr>
        <w:t xml:space="preserve"> </w:t>
      </w:r>
      <w:r>
        <w:rPr>
          <w:spacing w:val="1"/>
        </w:rPr>
        <w:t>i</w:t>
      </w:r>
      <w:r>
        <w:t>s</w:t>
      </w:r>
      <w:r>
        <w:rPr>
          <w:spacing w:val="3"/>
        </w:rPr>
        <w:t xml:space="preserve"> </w:t>
      </w:r>
      <w:r>
        <w:rPr>
          <w:spacing w:val="1"/>
        </w:rPr>
        <w:t>objectiv</w:t>
      </w:r>
      <w:r>
        <w:t>e</w:t>
      </w:r>
      <w:r>
        <w:rPr>
          <w:spacing w:val="9"/>
        </w:rPr>
        <w:t xml:space="preserve"> </w:t>
      </w:r>
      <w:r>
        <w:rPr>
          <w:spacing w:val="1"/>
        </w:rPr>
        <w:t>evidenc</w:t>
      </w:r>
      <w:r>
        <w:t>e</w:t>
      </w:r>
      <w:r>
        <w:rPr>
          <w:spacing w:val="9"/>
        </w:rPr>
        <w:t xml:space="preserve"> </w:t>
      </w:r>
      <w:r>
        <w:rPr>
          <w:spacing w:val="1"/>
        </w:rPr>
        <w:t>tha</w:t>
      </w:r>
      <w:r>
        <w:t>t</w:t>
      </w:r>
      <w:r>
        <w:rPr>
          <w:spacing w:val="5"/>
        </w:rPr>
        <w:t xml:space="preserve"> </w:t>
      </w:r>
      <w:r>
        <w:t>a</w:t>
      </w:r>
      <w:r>
        <w:rPr>
          <w:spacing w:val="3"/>
        </w:rPr>
        <w:t xml:space="preserve"> </w:t>
      </w:r>
      <w:r>
        <w:rPr>
          <w:spacing w:val="1"/>
        </w:rPr>
        <w:t>financia</w:t>
      </w:r>
      <w:r>
        <w:t>l</w:t>
      </w:r>
      <w:r>
        <w:rPr>
          <w:spacing w:val="9"/>
        </w:rPr>
        <w:t xml:space="preserve"> </w:t>
      </w:r>
      <w:r>
        <w:rPr>
          <w:spacing w:val="1"/>
        </w:rPr>
        <w:t>asse</w:t>
      </w:r>
      <w:r>
        <w:t>t</w:t>
      </w:r>
      <w:r>
        <w:rPr>
          <w:spacing w:val="6"/>
        </w:rPr>
        <w:t xml:space="preserve"> </w:t>
      </w:r>
      <w:r>
        <w:rPr>
          <w:spacing w:val="1"/>
        </w:rPr>
        <w:t>i</w:t>
      </w:r>
      <w:r>
        <w:t>s</w:t>
      </w:r>
      <w:r>
        <w:rPr>
          <w:spacing w:val="3"/>
        </w:rPr>
        <w:t xml:space="preserve"> </w:t>
      </w:r>
      <w:r>
        <w:rPr>
          <w:spacing w:val="1"/>
          <w:w w:val="101"/>
        </w:rPr>
        <w:t xml:space="preserve">impaired. </w:t>
      </w:r>
    </w:p>
    <w:p w14:paraId="1145082D" w14:textId="77777777" w:rsidR="0090239F" w:rsidRPr="00805FEA" w:rsidRDefault="003B1595" w:rsidP="00805FEA">
      <w:pPr>
        <w:pStyle w:val="Note-Sub-normal2"/>
        <w:rPr>
          <w:w w:val="101"/>
        </w:rPr>
      </w:pPr>
      <w:r>
        <w:rPr>
          <w:spacing w:val="2"/>
        </w:rPr>
        <w:t>I</w:t>
      </w:r>
      <w:r>
        <w:t>f</w:t>
      </w:r>
      <w:r>
        <w:rPr>
          <w:spacing w:val="25"/>
        </w:rPr>
        <w:t xml:space="preserve"> </w:t>
      </w:r>
      <w:r>
        <w:t>such</w:t>
      </w:r>
      <w:r>
        <w:rPr>
          <w:spacing w:val="26"/>
        </w:rPr>
        <w:t xml:space="preserve"> </w:t>
      </w:r>
      <w:r>
        <w:t>evidence</w:t>
      </w:r>
      <w:r>
        <w:rPr>
          <w:spacing w:val="27"/>
        </w:rPr>
        <w:t xml:space="preserve"> </w:t>
      </w:r>
      <w:r>
        <w:t>exists,</w:t>
      </w:r>
      <w:r>
        <w:rPr>
          <w:spacing w:val="26"/>
        </w:rPr>
        <w:t xml:space="preserve"> </w:t>
      </w:r>
      <w:r>
        <w:rPr>
          <w:spacing w:val="-1"/>
        </w:rPr>
        <w:t>th</w:t>
      </w:r>
      <w:r>
        <w:t>e</w:t>
      </w:r>
      <w:r>
        <w:rPr>
          <w:spacing w:val="23"/>
        </w:rPr>
        <w:t xml:space="preserve"> </w:t>
      </w:r>
      <w:r>
        <w:t>Company</w:t>
      </w:r>
      <w:r>
        <w:rPr>
          <w:spacing w:val="30"/>
        </w:rPr>
        <w:t xml:space="preserve"> </w:t>
      </w:r>
      <w:r>
        <w:rPr>
          <w:spacing w:val="-1"/>
        </w:rPr>
        <w:t>recognize</w:t>
      </w:r>
      <w:r>
        <w:t>s</w:t>
      </w:r>
      <w:r>
        <w:rPr>
          <w:spacing w:val="30"/>
        </w:rPr>
        <w:t xml:space="preserve"> </w:t>
      </w:r>
      <w:r>
        <w:rPr>
          <w:spacing w:val="-1"/>
        </w:rPr>
        <w:t>a</w:t>
      </w:r>
      <w:r>
        <w:t>n</w:t>
      </w:r>
      <w:r>
        <w:rPr>
          <w:spacing w:val="23"/>
        </w:rPr>
        <w:t xml:space="preserve"> </w:t>
      </w:r>
      <w:r>
        <w:rPr>
          <w:spacing w:val="1"/>
        </w:rPr>
        <w:t>impairmen</w:t>
      </w:r>
      <w:r>
        <w:t>t</w:t>
      </w:r>
      <w:r>
        <w:rPr>
          <w:spacing w:val="33"/>
        </w:rPr>
        <w:t xml:space="preserve"> </w:t>
      </w:r>
      <w:r>
        <w:rPr>
          <w:spacing w:val="1"/>
        </w:rPr>
        <w:t>los</w:t>
      </w:r>
      <w:r>
        <w:t>s</w:t>
      </w:r>
      <w:r>
        <w:rPr>
          <w:spacing w:val="26"/>
        </w:rPr>
        <w:t xml:space="preserve"> </w:t>
      </w:r>
      <w:r>
        <w:rPr>
          <w:spacing w:val="1"/>
        </w:rPr>
        <w:t>fo</w:t>
      </w:r>
      <w:r>
        <w:t>r</w:t>
      </w:r>
      <w:r>
        <w:rPr>
          <w:spacing w:val="20"/>
        </w:rPr>
        <w:t xml:space="preserve"> </w:t>
      </w:r>
      <w:r>
        <w:rPr>
          <w:spacing w:val="1"/>
        </w:rPr>
        <w:t>financia</w:t>
      </w:r>
      <w:r>
        <w:t>l</w:t>
      </w:r>
      <w:r>
        <w:rPr>
          <w:spacing w:val="25"/>
        </w:rPr>
        <w:t xml:space="preserve"> </w:t>
      </w:r>
      <w:r>
        <w:rPr>
          <w:spacing w:val="-1"/>
        </w:rPr>
        <w:t>asset</w:t>
      </w:r>
      <w:r w:rsidR="00E538F1">
        <w:t xml:space="preserve">s.  </w:t>
      </w:r>
      <w:r>
        <w:t>The</w:t>
      </w:r>
      <w:r>
        <w:rPr>
          <w:spacing w:val="13"/>
        </w:rPr>
        <w:t xml:space="preserve"> </w:t>
      </w:r>
      <w:r>
        <w:rPr>
          <w:spacing w:val="1"/>
        </w:rPr>
        <w:t>carryin</w:t>
      </w:r>
      <w:r>
        <w:t>g</w:t>
      </w:r>
      <w:r>
        <w:rPr>
          <w:spacing w:val="19"/>
        </w:rPr>
        <w:t xml:space="preserve"> </w:t>
      </w:r>
      <w:r>
        <w:rPr>
          <w:spacing w:val="1"/>
        </w:rPr>
        <w:t>amoun</w:t>
      </w:r>
      <w:r>
        <w:t>t</w:t>
      </w:r>
      <w:r>
        <w:rPr>
          <w:spacing w:val="19"/>
        </w:rPr>
        <w:t xml:space="preserve"> </w:t>
      </w:r>
      <w:r>
        <w:rPr>
          <w:spacing w:val="1"/>
        </w:rPr>
        <w:t>o</w:t>
      </w:r>
      <w:r>
        <w:t>f</w:t>
      </w:r>
      <w:r>
        <w:rPr>
          <w:spacing w:val="14"/>
        </w:rPr>
        <w:t xml:space="preserve"> </w:t>
      </w:r>
      <w:r>
        <w:t>the</w:t>
      </w:r>
      <w:r>
        <w:rPr>
          <w:spacing w:val="3"/>
        </w:rPr>
        <w:t xml:space="preserve"> </w:t>
      </w:r>
      <w:r>
        <w:rPr>
          <w:w w:val="101"/>
        </w:rPr>
        <w:t xml:space="preserve">asset </w:t>
      </w:r>
      <w:r>
        <w:t>is</w:t>
      </w:r>
      <w:r>
        <w:rPr>
          <w:spacing w:val="2"/>
        </w:rPr>
        <w:t xml:space="preserve"> </w:t>
      </w:r>
      <w:r>
        <w:t>reduced</w:t>
      </w:r>
      <w:r>
        <w:rPr>
          <w:spacing w:val="7"/>
        </w:rPr>
        <w:t xml:space="preserve"> </w:t>
      </w:r>
      <w:r>
        <w:t>by</w:t>
      </w:r>
      <w:r>
        <w:rPr>
          <w:spacing w:val="3"/>
        </w:rPr>
        <w:t xml:space="preserve"> </w:t>
      </w:r>
      <w:r>
        <w:t>this</w:t>
      </w:r>
      <w:r>
        <w:rPr>
          <w:spacing w:val="4"/>
        </w:rPr>
        <w:t xml:space="preserve"> </w:t>
      </w:r>
      <w:r>
        <w:t>amount</w:t>
      </w:r>
      <w:r>
        <w:rPr>
          <w:spacing w:val="7"/>
        </w:rPr>
        <w:t xml:space="preserve"> </w:t>
      </w:r>
      <w:r>
        <w:t>either</w:t>
      </w:r>
      <w:r>
        <w:rPr>
          <w:spacing w:val="5"/>
        </w:rPr>
        <w:t xml:space="preserve"> </w:t>
      </w:r>
      <w:r>
        <w:t>directly</w:t>
      </w:r>
      <w:r>
        <w:rPr>
          <w:spacing w:val="7"/>
        </w:rPr>
        <w:t xml:space="preserve"> </w:t>
      </w:r>
      <w:r>
        <w:t>or</w:t>
      </w:r>
      <w:r>
        <w:rPr>
          <w:spacing w:val="3"/>
        </w:rPr>
        <w:t xml:space="preserve"> </w:t>
      </w:r>
      <w:r>
        <w:t>indirectly</w:t>
      </w:r>
      <w:r>
        <w:rPr>
          <w:spacing w:val="8"/>
        </w:rPr>
        <w:t xml:space="preserve"> </w:t>
      </w:r>
      <w:r>
        <w:t>through</w:t>
      </w:r>
      <w:r>
        <w:rPr>
          <w:spacing w:val="7"/>
        </w:rPr>
        <w:t xml:space="preserve"> </w:t>
      </w:r>
      <w:r>
        <w:t>the</w:t>
      </w:r>
      <w:r>
        <w:rPr>
          <w:spacing w:val="3"/>
        </w:rPr>
        <w:t xml:space="preserve"> </w:t>
      </w:r>
      <w:r>
        <w:t>use</w:t>
      </w:r>
      <w:r>
        <w:rPr>
          <w:spacing w:val="4"/>
        </w:rPr>
        <w:t xml:space="preserve"> </w:t>
      </w:r>
      <w:r>
        <w:t>of</w:t>
      </w:r>
      <w:r>
        <w:rPr>
          <w:spacing w:val="2"/>
        </w:rPr>
        <w:t xml:space="preserve"> </w:t>
      </w:r>
      <w:r>
        <w:t>an</w:t>
      </w:r>
      <w:r>
        <w:rPr>
          <w:spacing w:val="3"/>
        </w:rPr>
        <w:t xml:space="preserve"> </w:t>
      </w:r>
      <w:r>
        <w:t>allowance</w:t>
      </w:r>
      <w:r>
        <w:rPr>
          <w:spacing w:val="9"/>
        </w:rPr>
        <w:t xml:space="preserve"> </w:t>
      </w:r>
      <w:r>
        <w:rPr>
          <w:w w:val="101"/>
        </w:rPr>
        <w:t>account.</w:t>
      </w:r>
    </w:p>
    <w:p w14:paraId="20575328" w14:textId="77777777" w:rsidR="00CD205E" w:rsidRPr="00CD205E" w:rsidRDefault="00DF5D26" w:rsidP="00E02F42">
      <w:pPr>
        <w:pStyle w:val="Note-Sub-heading2"/>
      </w:pPr>
      <w:r>
        <w:t>(ii)</w:t>
      </w:r>
      <w:r w:rsidR="00E02F42">
        <w:tab/>
      </w:r>
      <w:r>
        <w:t>N</w:t>
      </w:r>
      <w:r w:rsidR="00CD205E" w:rsidRPr="00CD205E">
        <w:t>on-financial assets</w:t>
      </w:r>
    </w:p>
    <w:p w14:paraId="511DF0D5" w14:textId="77777777" w:rsidR="00236AEF" w:rsidRDefault="005F73B3" w:rsidP="006809F4">
      <w:pPr>
        <w:pStyle w:val="Note-Sub-normal2"/>
      </w:pPr>
      <w:r>
        <w:t>The carrying amount of long-lived non-financial assets, including intangible assets and property and equipment, is reviewed at each reporting date to determine whether there is any indication of impairment. I</w:t>
      </w:r>
      <w:r w:rsidR="009431DF">
        <w:t>f</w:t>
      </w:r>
      <w:r>
        <w:t xml:space="preserve"> any such indication exists, then the asset’s recoverable amount is estimated. Intangible assets with indefinite lives and intangible assets not yet put into use are evaluated for impairment at least annually.</w:t>
      </w:r>
    </w:p>
    <w:p w14:paraId="04AD0A47" w14:textId="77777777" w:rsidR="00CD205E" w:rsidRDefault="00CD205E" w:rsidP="00E02F42">
      <w:pPr>
        <w:pStyle w:val="Note-Sub-normal2"/>
      </w:pPr>
      <w:r>
        <w:t>An impairment exists when the carrying value of an asset exceeds its recoverable amount, which is the higher of its fair value less costs to sell or its value in use. The fair value less costs to sell calculation is based on available data from observable market prices, less incremental costs. The value in use calculation is based on a discounted cash flow model. These calculations require the use of estimates and forecasts of future c</w:t>
      </w:r>
      <w:r w:rsidR="000D248B">
        <w:t xml:space="preserve">ash flows. Qualitative factors, </w:t>
      </w:r>
      <w:r>
        <w:t>including market size and market growth trends, strength of customer demand and d</w:t>
      </w:r>
      <w:r w:rsidR="000D248B">
        <w:t>egree of variability in cash fl</w:t>
      </w:r>
      <w:r>
        <w:t>o</w:t>
      </w:r>
      <w:r w:rsidR="000D248B">
        <w:t>w</w:t>
      </w:r>
      <w:r>
        <w:t>s</w:t>
      </w:r>
      <w:r w:rsidR="000D248B">
        <w:t>, as well as other factors, are considered when making assumptions with regard to future cash flows and the appropriate discount rate</w:t>
      </w:r>
      <w:r>
        <w:t>. A change in any of the significant assumptions of estimates used to evaluate the underlying assets could result in a material change to the results of operation</w:t>
      </w:r>
      <w:r w:rsidR="00D02D04">
        <w:t>s</w:t>
      </w:r>
      <w:r>
        <w:t>.</w:t>
      </w:r>
    </w:p>
    <w:p w14:paraId="7D6FF2AC" w14:textId="77777777" w:rsidR="005F73B3" w:rsidRDefault="005F73B3" w:rsidP="00E02F42">
      <w:pPr>
        <w:pStyle w:val="Note-Sub-normal2"/>
      </w:pPr>
      <w:r>
        <w:t xml:space="preserve">Impairment losses recognized in prior periods are assessed at each reporting date for any indications that the loss has decreased or no longer exists. An impairment </w:t>
      </w:r>
      <w:r w:rsidR="00773FDB">
        <w:t>loss is reversed, to the extent that the asset’s carrying amount does not exceed the carrying amount that would have been determined, net of amortization, if no impairment had been recognized. Write-downs as a result of impairment are recognized in research expense in the statement of comprehensive loss.</w:t>
      </w:r>
    </w:p>
    <w:p w14:paraId="4ABDA91E" w14:textId="77777777" w:rsidR="003B1595" w:rsidRDefault="00F97A09" w:rsidP="00F92FF8">
      <w:pPr>
        <w:pStyle w:val="Note-Sub-heading"/>
      </w:pPr>
      <w:r>
        <w:rPr>
          <w:spacing w:val="2"/>
        </w:rPr>
        <w:t>(h</w:t>
      </w:r>
      <w:r w:rsidR="003B1595">
        <w:t>)</w:t>
      </w:r>
      <w:r w:rsidR="00F92FF8">
        <w:tab/>
      </w:r>
      <w:r w:rsidR="003B1595">
        <w:t>Employee</w:t>
      </w:r>
      <w:r w:rsidR="003B1595">
        <w:rPr>
          <w:spacing w:val="9"/>
        </w:rPr>
        <w:t xml:space="preserve"> </w:t>
      </w:r>
      <w:r w:rsidR="003B1595">
        <w:rPr>
          <w:w w:val="101"/>
        </w:rPr>
        <w:t>benefits</w:t>
      </w:r>
    </w:p>
    <w:p w14:paraId="690DCED2" w14:textId="77777777" w:rsidR="003B1595" w:rsidRDefault="003B1595" w:rsidP="00E02F42">
      <w:pPr>
        <w:pStyle w:val="Note-Sub-heading2"/>
      </w:pPr>
      <w:r>
        <w:rPr>
          <w:spacing w:val="2"/>
        </w:rPr>
        <w:t>(i</w:t>
      </w:r>
      <w:r>
        <w:t>)</w:t>
      </w:r>
      <w:r w:rsidR="00E02F42">
        <w:tab/>
      </w:r>
      <w:r>
        <w:t>Short-term</w:t>
      </w:r>
      <w:r>
        <w:rPr>
          <w:spacing w:val="11"/>
        </w:rPr>
        <w:t xml:space="preserve"> </w:t>
      </w:r>
      <w:r>
        <w:t>employee</w:t>
      </w:r>
      <w:r>
        <w:rPr>
          <w:spacing w:val="10"/>
        </w:rPr>
        <w:t xml:space="preserve"> </w:t>
      </w:r>
      <w:r>
        <w:rPr>
          <w:w w:val="101"/>
        </w:rPr>
        <w:t>benefits</w:t>
      </w:r>
    </w:p>
    <w:p w14:paraId="51C42FD8" w14:textId="77777777" w:rsidR="003B1595" w:rsidRDefault="003B1595" w:rsidP="00E02F42">
      <w:pPr>
        <w:pStyle w:val="Note-Sub-normal2"/>
      </w:pPr>
      <w:r>
        <w:rPr>
          <w:spacing w:val="1"/>
        </w:rPr>
        <w:t>Short-ter</w:t>
      </w:r>
      <w:r>
        <w:t xml:space="preserve">m </w:t>
      </w:r>
      <w:r>
        <w:rPr>
          <w:spacing w:val="-5"/>
        </w:rPr>
        <w:t>e</w:t>
      </w:r>
      <w:r>
        <w:rPr>
          <w:spacing w:val="6"/>
        </w:rPr>
        <w:t>m</w:t>
      </w:r>
      <w:r>
        <w:t>ployee</w:t>
      </w:r>
      <w:r>
        <w:rPr>
          <w:spacing w:val="48"/>
        </w:rPr>
        <w:t xml:space="preserve"> </w:t>
      </w:r>
      <w:r>
        <w:rPr>
          <w:spacing w:val="-1"/>
        </w:rPr>
        <w:t>benefi</w:t>
      </w:r>
      <w:r>
        <w:t>t</w:t>
      </w:r>
      <w:r>
        <w:rPr>
          <w:spacing w:val="45"/>
        </w:rPr>
        <w:t xml:space="preserve"> </w:t>
      </w:r>
      <w:r>
        <w:rPr>
          <w:spacing w:val="1"/>
        </w:rPr>
        <w:t>obligation</w:t>
      </w:r>
      <w:r>
        <w:t xml:space="preserve">s </w:t>
      </w:r>
      <w:r w:rsidR="004329AF">
        <w:t>a</w:t>
      </w:r>
      <w:r>
        <w:rPr>
          <w:spacing w:val="-1"/>
        </w:rPr>
        <w:t>r</w:t>
      </w:r>
      <w:r>
        <w:t>e</w:t>
      </w:r>
      <w:r>
        <w:rPr>
          <w:spacing w:val="38"/>
        </w:rPr>
        <w:t xml:space="preserve"> </w:t>
      </w:r>
      <w:r>
        <w:rPr>
          <w:spacing w:val="-3"/>
        </w:rPr>
        <w:t>expense</w:t>
      </w:r>
      <w:r>
        <w:t>d</w:t>
      </w:r>
      <w:r>
        <w:rPr>
          <w:spacing w:val="41"/>
        </w:rPr>
        <w:t xml:space="preserve"> </w:t>
      </w:r>
      <w:r>
        <w:t>as</w:t>
      </w:r>
      <w:r>
        <w:rPr>
          <w:spacing w:val="38"/>
        </w:rPr>
        <w:t xml:space="preserve"> </w:t>
      </w:r>
      <w:r>
        <w:rPr>
          <w:spacing w:val="1"/>
          <w:w w:val="101"/>
        </w:rPr>
        <w:t xml:space="preserve">the </w:t>
      </w:r>
      <w:r>
        <w:t>related</w:t>
      </w:r>
      <w:r>
        <w:rPr>
          <w:spacing w:val="5"/>
        </w:rPr>
        <w:t xml:space="preserve"> </w:t>
      </w:r>
      <w:r>
        <w:t>service</w:t>
      </w:r>
      <w:r>
        <w:rPr>
          <w:spacing w:val="6"/>
        </w:rPr>
        <w:t xml:space="preserve"> </w:t>
      </w:r>
      <w:r>
        <w:t>is</w:t>
      </w:r>
      <w:r>
        <w:rPr>
          <w:spacing w:val="1"/>
        </w:rPr>
        <w:t xml:space="preserve"> </w:t>
      </w:r>
      <w:r>
        <w:rPr>
          <w:w w:val="101"/>
        </w:rPr>
        <w:t>provided.</w:t>
      </w:r>
    </w:p>
    <w:p w14:paraId="6E6C5E56" w14:textId="77777777" w:rsidR="003B1595" w:rsidRDefault="003B1595" w:rsidP="00E02F42">
      <w:pPr>
        <w:pStyle w:val="Note-Sub-heading2"/>
      </w:pPr>
      <w:r>
        <w:rPr>
          <w:spacing w:val="2"/>
        </w:rPr>
        <w:t>(ii</w:t>
      </w:r>
      <w:r>
        <w:t>)</w:t>
      </w:r>
      <w:r w:rsidR="00E02F42">
        <w:tab/>
      </w:r>
      <w:r>
        <w:t>Share-based</w:t>
      </w:r>
      <w:r>
        <w:rPr>
          <w:spacing w:val="12"/>
        </w:rPr>
        <w:t xml:space="preserve"> </w:t>
      </w:r>
      <w:r>
        <w:t>payment</w:t>
      </w:r>
      <w:r>
        <w:rPr>
          <w:spacing w:val="8"/>
        </w:rPr>
        <w:t xml:space="preserve"> </w:t>
      </w:r>
      <w:r>
        <w:rPr>
          <w:w w:val="101"/>
        </w:rPr>
        <w:t>transactions</w:t>
      </w:r>
    </w:p>
    <w:p w14:paraId="4E6C0686" w14:textId="77777777" w:rsidR="00EB61CA" w:rsidRDefault="003B1595" w:rsidP="00EB61CA">
      <w:pPr>
        <w:pStyle w:val="Note-Sub-normal2"/>
        <w:rPr>
          <w:w w:val="101"/>
        </w:rPr>
      </w:pPr>
      <w:r>
        <w:t>The</w:t>
      </w:r>
      <w:r>
        <w:rPr>
          <w:spacing w:val="4"/>
        </w:rPr>
        <w:t xml:space="preserve"> </w:t>
      </w:r>
      <w:r>
        <w:t>grant</w:t>
      </w:r>
      <w:r>
        <w:rPr>
          <w:spacing w:val="8"/>
        </w:rPr>
        <w:t xml:space="preserve"> </w:t>
      </w:r>
      <w:r>
        <w:rPr>
          <w:spacing w:val="-1"/>
        </w:rPr>
        <w:t>dat</w:t>
      </w:r>
      <w:r>
        <w:t>e</w:t>
      </w:r>
      <w:r>
        <w:rPr>
          <w:spacing w:val="6"/>
        </w:rPr>
        <w:t xml:space="preserve"> </w:t>
      </w:r>
      <w:r>
        <w:rPr>
          <w:spacing w:val="1"/>
        </w:rPr>
        <w:t>fai</w:t>
      </w:r>
      <w:r>
        <w:t>r</w:t>
      </w:r>
      <w:r>
        <w:rPr>
          <w:spacing w:val="8"/>
        </w:rPr>
        <w:t xml:space="preserve"> </w:t>
      </w:r>
      <w:r>
        <w:rPr>
          <w:spacing w:val="-1"/>
        </w:rPr>
        <w:t>valu</w:t>
      </w:r>
      <w:r>
        <w:t>e</w:t>
      </w:r>
      <w:r>
        <w:rPr>
          <w:spacing w:val="6"/>
        </w:rPr>
        <w:t xml:space="preserve"> </w:t>
      </w:r>
      <w:r>
        <w:rPr>
          <w:spacing w:val="1"/>
        </w:rPr>
        <w:t>o</w:t>
      </w:r>
      <w:r>
        <w:t>f</w:t>
      </w:r>
      <w:r>
        <w:rPr>
          <w:spacing w:val="1"/>
        </w:rPr>
        <w:t xml:space="preserve"> </w:t>
      </w:r>
      <w:r>
        <w:rPr>
          <w:spacing w:val="-1"/>
        </w:rPr>
        <w:t>share-base</w:t>
      </w:r>
      <w:r>
        <w:t>d</w:t>
      </w:r>
      <w:r>
        <w:rPr>
          <w:spacing w:val="7"/>
        </w:rPr>
        <w:t xml:space="preserve"> </w:t>
      </w:r>
      <w:r>
        <w:t>payment</w:t>
      </w:r>
      <w:r>
        <w:rPr>
          <w:spacing w:val="6"/>
        </w:rPr>
        <w:t xml:space="preserve"> </w:t>
      </w:r>
      <w:r>
        <w:t>awards</w:t>
      </w:r>
      <w:r>
        <w:rPr>
          <w:spacing w:val="4"/>
        </w:rPr>
        <w:t xml:space="preserve"> </w:t>
      </w:r>
      <w:r>
        <w:rPr>
          <w:spacing w:val="-1"/>
        </w:rPr>
        <w:t>grante</w:t>
      </w:r>
      <w:r>
        <w:t>d</w:t>
      </w:r>
      <w:r>
        <w:rPr>
          <w:spacing w:val="4"/>
        </w:rPr>
        <w:t xml:space="preserve"> </w:t>
      </w:r>
      <w:r>
        <w:rPr>
          <w:spacing w:val="1"/>
        </w:rPr>
        <w:t>t</w:t>
      </w:r>
      <w:r>
        <w:t>o</w:t>
      </w:r>
      <w:r>
        <w:rPr>
          <w:spacing w:val="1"/>
        </w:rPr>
        <w:t xml:space="preserve"> </w:t>
      </w:r>
      <w:r>
        <w:rPr>
          <w:spacing w:val="-5"/>
        </w:rPr>
        <w:t>e</w:t>
      </w:r>
      <w:r>
        <w:rPr>
          <w:spacing w:val="6"/>
        </w:rPr>
        <w:t>m</w:t>
      </w:r>
      <w:r>
        <w:rPr>
          <w:spacing w:val="-1"/>
        </w:rPr>
        <w:t>ployee</w:t>
      </w:r>
      <w:r>
        <w:t>s</w:t>
      </w:r>
      <w:r>
        <w:rPr>
          <w:spacing w:val="6"/>
        </w:rPr>
        <w:t xml:space="preserve"> </w:t>
      </w:r>
      <w:r>
        <w:rPr>
          <w:spacing w:val="1"/>
        </w:rPr>
        <w:t>i</w:t>
      </w:r>
      <w:r>
        <w:t>s</w:t>
      </w:r>
      <w:r>
        <w:rPr>
          <w:spacing w:val="1"/>
        </w:rPr>
        <w:t xml:space="preserve"> </w:t>
      </w:r>
      <w:r>
        <w:rPr>
          <w:spacing w:val="-1"/>
        </w:rPr>
        <w:t>recognize</w:t>
      </w:r>
      <w:r>
        <w:t>d</w:t>
      </w:r>
      <w:r>
        <w:rPr>
          <w:spacing w:val="6"/>
        </w:rPr>
        <w:t xml:space="preserve"> </w:t>
      </w:r>
      <w:r>
        <w:t xml:space="preserve">as </w:t>
      </w:r>
      <w:r>
        <w:rPr>
          <w:spacing w:val="-1"/>
        </w:rPr>
        <w:t>a</w:t>
      </w:r>
      <w:r>
        <w:t xml:space="preserve"> </w:t>
      </w:r>
      <w:r>
        <w:rPr>
          <w:spacing w:val="-1"/>
          <w:w w:val="101"/>
        </w:rPr>
        <w:t xml:space="preserve">personnel </w:t>
      </w:r>
      <w:r>
        <w:rPr>
          <w:spacing w:val="-3"/>
        </w:rPr>
        <w:t>expense</w:t>
      </w:r>
      <w:r>
        <w:t>,</w:t>
      </w:r>
      <w:r>
        <w:rPr>
          <w:spacing w:val="31"/>
        </w:rPr>
        <w:t xml:space="preserve"> </w:t>
      </w:r>
      <w:r>
        <w:rPr>
          <w:spacing w:val="1"/>
        </w:rPr>
        <w:t>wit</w:t>
      </w:r>
      <w:r>
        <w:t>h</w:t>
      </w:r>
      <w:r>
        <w:rPr>
          <w:spacing w:val="30"/>
        </w:rPr>
        <w:t xml:space="preserve"> </w:t>
      </w:r>
      <w:r>
        <w:t>a</w:t>
      </w:r>
      <w:r>
        <w:rPr>
          <w:spacing w:val="22"/>
        </w:rPr>
        <w:t xml:space="preserve"> </w:t>
      </w:r>
      <w:r>
        <w:t>corresponding</w:t>
      </w:r>
      <w:r>
        <w:rPr>
          <w:spacing w:val="33"/>
        </w:rPr>
        <w:t xml:space="preserve"> </w:t>
      </w:r>
      <w:r>
        <w:rPr>
          <w:spacing w:val="-1"/>
        </w:rPr>
        <w:t>increas</w:t>
      </w:r>
      <w:r>
        <w:t>e</w:t>
      </w:r>
      <w:r>
        <w:rPr>
          <w:spacing w:val="28"/>
        </w:rPr>
        <w:t xml:space="preserve"> </w:t>
      </w:r>
      <w:r>
        <w:rPr>
          <w:spacing w:val="1"/>
        </w:rPr>
        <w:t>i</w:t>
      </w:r>
      <w:r>
        <w:t>n</w:t>
      </w:r>
      <w:r>
        <w:rPr>
          <w:spacing w:val="24"/>
        </w:rPr>
        <w:t xml:space="preserve"> </w:t>
      </w:r>
      <w:r>
        <w:t>equity,</w:t>
      </w:r>
      <w:r>
        <w:rPr>
          <w:spacing w:val="27"/>
        </w:rPr>
        <w:t xml:space="preserve"> </w:t>
      </w:r>
      <w:r>
        <w:rPr>
          <w:spacing w:val="-1"/>
        </w:rPr>
        <w:t>ove</w:t>
      </w:r>
      <w:r>
        <w:t>r</w:t>
      </w:r>
      <w:r>
        <w:rPr>
          <w:spacing w:val="24"/>
        </w:rPr>
        <w:t xml:space="preserve"> </w:t>
      </w:r>
      <w:r>
        <w:rPr>
          <w:spacing w:val="-1"/>
        </w:rPr>
        <w:t>th</w:t>
      </w:r>
      <w:r>
        <w:t>e</w:t>
      </w:r>
      <w:r>
        <w:rPr>
          <w:spacing w:val="23"/>
        </w:rPr>
        <w:t xml:space="preserve"> </w:t>
      </w:r>
      <w:r>
        <w:rPr>
          <w:spacing w:val="-1"/>
        </w:rPr>
        <w:t>perio</w:t>
      </w:r>
      <w:r>
        <w:t>d</w:t>
      </w:r>
      <w:r>
        <w:rPr>
          <w:spacing w:val="27"/>
        </w:rPr>
        <w:t xml:space="preserve"> </w:t>
      </w:r>
      <w:r>
        <w:rPr>
          <w:spacing w:val="1"/>
        </w:rPr>
        <w:t>tha</w:t>
      </w:r>
      <w:r>
        <w:t>t</w:t>
      </w:r>
      <w:r>
        <w:rPr>
          <w:spacing w:val="26"/>
        </w:rPr>
        <w:t xml:space="preserve"> </w:t>
      </w:r>
      <w:r>
        <w:rPr>
          <w:spacing w:val="-1"/>
        </w:rPr>
        <w:t>th</w:t>
      </w:r>
      <w:r>
        <w:t>e</w:t>
      </w:r>
      <w:r>
        <w:rPr>
          <w:spacing w:val="23"/>
        </w:rPr>
        <w:t xml:space="preserve"> </w:t>
      </w:r>
      <w:r>
        <w:rPr>
          <w:spacing w:val="-5"/>
        </w:rPr>
        <w:t>e</w:t>
      </w:r>
      <w:r>
        <w:rPr>
          <w:spacing w:val="6"/>
        </w:rPr>
        <w:t>m</w:t>
      </w:r>
      <w:r>
        <w:rPr>
          <w:spacing w:val="-1"/>
        </w:rPr>
        <w:t>ployee</w:t>
      </w:r>
      <w:r>
        <w:t>s</w:t>
      </w:r>
      <w:r>
        <w:rPr>
          <w:spacing w:val="30"/>
        </w:rPr>
        <w:t xml:space="preserve"> </w:t>
      </w:r>
      <w:r>
        <w:rPr>
          <w:spacing w:val="1"/>
        </w:rPr>
        <w:t>unconditionall</w:t>
      </w:r>
      <w:r>
        <w:t>y</w:t>
      </w:r>
      <w:r>
        <w:rPr>
          <w:spacing w:val="35"/>
        </w:rPr>
        <w:t xml:space="preserve"> </w:t>
      </w:r>
      <w:r>
        <w:rPr>
          <w:w w:val="101"/>
        </w:rPr>
        <w:t xml:space="preserve">become </w:t>
      </w:r>
      <w:r>
        <w:t>entitled</w:t>
      </w:r>
      <w:r>
        <w:rPr>
          <w:spacing w:val="28"/>
        </w:rPr>
        <w:t xml:space="preserve"> </w:t>
      </w:r>
      <w:r>
        <w:rPr>
          <w:spacing w:val="1"/>
        </w:rPr>
        <w:t>t</w:t>
      </w:r>
      <w:r>
        <w:t>o</w:t>
      </w:r>
      <w:r>
        <w:rPr>
          <w:spacing w:val="24"/>
        </w:rPr>
        <w:t xml:space="preserve"> </w:t>
      </w:r>
      <w:r>
        <w:rPr>
          <w:spacing w:val="-1"/>
        </w:rPr>
        <w:t>th</w:t>
      </w:r>
      <w:r>
        <w:t>e</w:t>
      </w:r>
      <w:r>
        <w:rPr>
          <w:spacing w:val="23"/>
        </w:rPr>
        <w:t xml:space="preserve"> </w:t>
      </w:r>
      <w:r>
        <w:t xml:space="preserve">awards. </w:t>
      </w:r>
      <w:r>
        <w:rPr>
          <w:spacing w:val="40"/>
        </w:rPr>
        <w:t xml:space="preserve"> </w:t>
      </w:r>
      <w:r>
        <w:rPr>
          <w:spacing w:val="-1"/>
        </w:rPr>
        <w:t>T</w:t>
      </w:r>
      <w:r>
        <w:rPr>
          <w:spacing w:val="-3"/>
        </w:rPr>
        <w:t>h</w:t>
      </w:r>
      <w:r>
        <w:t>e</w:t>
      </w:r>
      <w:r>
        <w:rPr>
          <w:spacing w:val="17"/>
        </w:rPr>
        <w:t xml:space="preserve"> </w:t>
      </w:r>
      <w:r>
        <w:rPr>
          <w:spacing w:val="1"/>
        </w:rPr>
        <w:t>amoun</w:t>
      </w:r>
      <w:r>
        <w:t>t</w:t>
      </w:r>
      <w:r>
        <w:rPr>
          <w:spacing w:val="24"/>
        </w:rPr>
        <w:t xml:space="preserve"> </w:t>
      </w:r>
      <w:r>
        <w:rPr>
          <w:spacing w:val="-1"/>
        </w:rPr>
        <w:t>recognize</w:t>
      </w:r>
      <w:r>
        <w:t>d</w:t>
      </w:r>
      <w:r>
        <w:rPr>
          <w:spacing w:val="25"/>
        </w:rPr>
        <w:t xml:space="preserve"> </w:t>
      </w:r>
      <w:r>
        <w:t>as</w:t>
      </w:r>
      <w:r>
        <w:rPr>
          <w:spacing w:val="19"/>
        </w:rPr>
        <w:t xml:space="preserve"> </w:t>
      </w:r>
      <w:r>
        <w:rPr>
          <w:spacing w:val="-1"/>
        </w:rPr>
        <w:t>a</w:t>
      </w:r>
      <w:r>
        <w:t>n</w:t>
      </w:r>
      <w:r>
        <w:rPr>
          <w:spacing w:val="19"/>
        </w:rPr>
        <w:t xml:space="preserve"> </w:t>
      </w:r>
      <w:r>
        <w:rPr>
          <w:spacing w:val="-3"/>
        </w:rPr>
        <w:t>expens</w:t>
      </w:r>
      <w:r>
        <w:t>e</w:t>
      </w:r>
      <w:r>
        <w:rPr>
          <w:spacing w:val="21"/>
        </w:rPr>
        <w:t xml:space="preserve"> </w:t>
      </w:r>
      <w:r>
        <w:rPr>
          <w:spacing w:val="1"/>
        </w:rPr>
        <w:t>i</w:t>
      </w:r>
      <w:r>
        <w:t>s</w:t>
      </w:r>
      <w:r>
        <w:rPr>
          <w:spacing w:val="20"/>
        </w:rPr>
        <w:t xml:space="preserve"> </w:t>
      </w:r>
      <w:r>
        <w:t>adjusted</w:t>
      </w:r>
      <w:r>
        <w:rPr>
          <w:spacing w:val="24"/>
        </w:rPr>
        <w:t xml:space="preserve"> </w:t>
      </w:r>
      <w:r>
        <w:rPr>
          <w:spacing w:val="1"/>
        </w:rPr>
        <w:t>t</w:t>
      </w:r>
      <w:r>
        <w:t>o</w:t>
      </w:r>
      <w:r>
        <w:rPr>
          <w:spacing w:val="19"/>
        </w:rPr>
        <w:t xml:space="preserve"> </w:t>
      </w:r>
      <w:r>
        <w:t>reflect</w:t>
      </w:r>
      <w:r>
        <w:rPr>
          <w:spacing w:val="22"/>
        </w:rPr>
        <w:t xml:space="preserve"> </w:t>
      </w:r>
      <w:r>
        <w:rPr>
          <w:spacing w:val="-1"/>
        </w:rPr>
        <w:t>th</w:t>
      </w:r>
      <w:r>
        <w:t>e</w:t>
      </w:r>
      <w:r>
        <w:rPr>
          <w:spacing w:val="18"/>
        </w:rPr>
        <w:t xml:space="preserve"> </w:t>
      </w:r>
      <w:r>
        <w:t>number</w:t>
      </w:r>
      <w:r>
        <w:rPr>
          <w:spacing w:val="23"/>
        </w:rPr>
        <w:t xml:space="preserve"> </w:t>
      </w:r>
      <w:r>
        <w:rPr>
          <w:spacing w:val="1"/>
        </w:rPr>
        <w:t>o</w:t>
      </w:r>
      <w:r>
        <w:t>f</w:t>
      </w:r>
      <w:r>
        <w:rPr>
          <w:spacing w:val="19"/>
        </w:rPr>
        <w:t xml:space="preserve"> </w:t>
      </w:r>
      <w:r>
        <w:t>awards</w:t>
      </w:r>
      <w:r>
        <w:rPr>
          <w:spacing w:val="23"/>
        </w:rPr>
        <w:t xml:space="preserve"> </w:t>
      </w:r>
      <w:r>
        <w:rPr>
          <w:spacing w:val="1"/>
          <w:w w:val="101"/>
        </w:rPr>
        <w:t xml:space="preserve">for </w:t>
      </w:r>
      <w:r>
        <w:t>which</w:t>
      </w:r>
      <w:r>
        <w:rPr>
          <w:spacing w:val="10"/>
        </w:rPr>
        <w:t xml:space="preserve"> </w:t>
      </w:r>
      <w:r>
        <w:rPr>
          <w:spacing w:val="-1"/>
        </w:rPr>
        <w:t>th</w:t>
      </w:r>
      <w:r>
        <w:t>e</w:t>
      </w:r>
      <w:r>
        <w:rPr>
          <w:spacing w:val="6"/>
        </w:rPr>
        <w:t xml:space="preserve"> </w:t>
      </w:r>
      <w:r>
        <w:rPr>
          <w:spacing w:val="-1"/>
        </w:rPr>
        <w:t>relate</w:t>
      </w:r>
      <w:r>
        <w:t>d</w:t>
      </w:r>
      <w:r>
        <w:rPr>
          <w:spacing w:val="11"/>
        </w:rPr>
        <w:t xml:space="preserve"> </w:t>
      </w:r>
      <w:r>
        <w:rPr>
          <w:spacing w:val="-1"/>
        </w:rPr>
        <w:t>servic</w:t>
      </w:r>
      <w:r>
        <w:t>e</w:t>
      </w:r>
      <w:r>
        <w:rPr>
          <w:spacing w:val="10"/>
        </w:rPr>
        <w:t xml:space="preserve"> </w:t>
      </w:r>
      <w:r>
        <w:rPr>
          <w:spacing w:val="-1"/>
        </w:rPr>
        <w:t>an</w:t>
      </w:r>
      <w:r>
        <w:t>d</w:t>
      </w:r>
      <w:r>
        <w:rPr>
          <w:spacing w:val="8"/>
        </w:rPr>
        <w:t xml:space="preserve"> </w:t>
      </w:r>
      <w:r>
        <w:t>non-market</w:t>
      </w:r>
      <w:r>
        <w:rPr>
          <w:spacing w:val="15"/>
        </w:rPr>
        <w:t xml:space="preserve"> </w:t>
      </w:r>
      <w:r>
        <w:t>vesting</w:t>
      </w:r>
      <w:r>
        <w:rPr>
          <w:spacing w:val="11"/>
        </w:rPr>
        <w:t xml:space="preserve"> </w:t>
      </w:r>
      <w:r>
        <w:t>conditions</w:t>
      </w:r>
      <w:r>
        <w:rPr>
          <w:spacing w:val="14"/>
        </w:rPr>
        <w:t xml:space="preserve"> </w:t>
      </w:r>
      <w:r>
        <w:rPr>
          <w:spacing w:val="-1"/>
        </w:rPr>
        <w:t>ar</w:t>
      </w:r>
      <w:r>
        <w:t>e</w:t>
      </w:r>
      <w:r>
        <w:rPr>
          <w:spacing w:val="7"/>
        </w:rPr>
        <w:t xml:space="preserve"> </w:t>
      </w:r>
      <w:r>
        <w:rPr>
          <w:spacing w:val="-3"/>
        </w:rPr>
        <w:t>expecte</w:t>
      </w:r>
      <w:r>
        <w:t>d</w:t>
      </w:r>
      <w:r>
        <w:rPr>
          <w:spacing w:val="10"/>
        </w:rPr>
        <w:t xml:space="preserve"> </w:t>
      </w:r>
      <w:r>
        <w:rPr>
          <w:spacing w:val="1"/>
        </w:rPr>
        <w:t>t</w:t>
      </w:r>
      <w:r>
        <w:t>o</w:t>
      </w:r>
      <w:r>
        <w:rPr>
          <w:spacing w:val="8"/>
        </w:rPr>
        <w:t xml:space="preserve"> </w:t>
      </w:r>
      <w:r>
        <w:rPr>
          <w:spacing w:val="-3"/>
        </w:rPr>
        <w:t>b</w:t>
      </w:r>
      <w:r>
        <w:t xml:space="preserve">e </w:t>
      </w:r>
      <w:r>
        <w:rPr>
          <w:spacing w:val="6"/>
        </w:rPr>
        <w:t>m</w:t>
      </w:r>
      <w:r>
        <w:rPr>
          <w:spacing w:val="-5"/>
        </w:rPr>
        <w:t>e</w:t>
      </w:r>
      <w:r>
        <w:rPr>
          <w:spacing w:val="2"/>
        </w:rPr>
        <w:t>t</w:t>
      </w:r>
      <w:r>
        <w:t>,</w:t>
      </w:r>
      <w:r>
        <w:rPr>
          <w:spacing w:val="6"/>
        </w:rPr>
        <w:t xml:space="preserve"> </w:t>
      </w:r>
      <w:r>
        <w:t>such</w:t>
      </w:r>
      <w:r>
        <w:rPr>
          <w:spacing w:val="4"/>
        </w:rPr>
        <w:t xml:space="preserve"> </w:t>
      </w:r>
      <w:r>
        <w:rPr>
          <w:spacing w:val="1"/>
        </w:rPr>
        <w:t>tha</w:t>
      </w:r>
      <w:r>
        <w:t>t</w:t>
      </w:r>
      <w:r>
        <w:rPr>
          <w:spacing w:val="4"/>
        </w:rPr>
        <w:t xml:space="preserve"> </w:t>
      </w:r>
      <w:r>
        <w:rPr>
          <w:spacing w:val="-1"/>
        </w:rPr>
        <w:t>th</w:t>
      </w:r>
      <w:r>
        <w:t>e</w:t>
      </w:r>
      <w:r>
        <w:rPr>
          <w:spacing w:val="1"/>
        </w:rPr>
        <w:t xml:space="preserve"> </w:t>
      </w:r>
      <w:r>
        <w:rPr>
          <w:spacing w:val="1"/>
          <w:w w:val="101"/>
        </w:rPr>
        <w:t xml:space="preserve">amount </w:t>
      </w:r>
      <w:r>
        <w:rPr>
          <w:spacing w:val="1"/>
        </w:rPr>
        <w:t>ultimatel</w:t>
      </w:r>
      <w:r>
        <w:t>y</w:t>
      </w:r>
      <w:r>
        <w:rPr>
          <w:spacing w:val="36"/>
        </w:rPr>
        <w:t xml:space="preserve"> </w:t>
      </w:r>
      <w:r>
        <w:rPr>
          <w:spacing w:val="-1"/>
        </w:rPr>
        <w:t>recognize</w:t>
      </w:r>
      <w:r>
        <w:t>d</w:t>
      </w:r>
      <w:r>
        <w:rPr>
          <w:spacing w:val="34"/>
        </w:rPr>
        <w:t xml:space="preserve"> </w:t>
      </w:r>
      <w:r>
        <w:t>as</w:t>
      </w:r>
      <w:r>
        <w:rPr>
          <w:spacing w:val="28"/>
        </w:rPr>
        <w:t xml:space="preserve"> </w:t>
      </w:r>
      <w:r>
        <w:rPr>
          <w:spacing w:val="-1"/>
        </w:rPr>
        <w:t>a</w:t>
      </w:r>
      <w:r>
        <w:t>n</w:t>
      </w:r>
      <w:r>
        <w:rPr>
          <w:spacing w:val="28"/>
        </w:rPr>
        <w:t xml:space="preserve"> </w:t>
      </w:r>
      <w:r>
        <w:rPr>
          <w:spacing w:val="-3"/>
        </w:rPr>
        <w:t>expens</w:t>
      </w:r>
      <w:r>
        <w:t>e</w:t>
      </w:r>
      <w:r>
        <w:rPr>
          <w:spacing w:val="31"/>
        </w:rPr>
        <w:t xml:space="preserve"> </w:t>
      </w:r>
      <w:r>
        <w:rPr>
          <w:spacing w:val="1"/>
        </w:rPr>
        <w:t>i</w:t>
      </w:r>
      <w:r>
        <w:t>s</w:t>
      </w:r>
      <w:r>
        <w:rPr>
          <w:spacing w:val="29"/>
        </w:rPr>
        <w:t xml:space="preserve"> </w:t>
      </w:r>
      <w:r>
        <w:rPr>
          <w:spacing w:val="-1"/>
        </w:rPr>
        <w:t>base</w:t>
      </w:r>
      <w:r>
        <w:t>d</w:t>
      </w:r>
      <w:r>
        <w:rPr>
          <w:spacing w:val="30"/>
        </w:rPr>
        <w:t xml:space="preserve"> </w:t>
      </w:r>
      <w:r>
        <w:rPr>
          <w:spacing w:val="-1"/>
        </w:rPr>
        <w:t>o</w:t>
      </w:r>
      <w:r>
        <w:t>n</w:t>
      </w:r>
      <w:r>
        <w:rPr>
          <w:spacing w:val="23"/>
        </w:rPr>
        <w:t xml:space="preserve"> </w:t>
      </w:r>
      <w:r>
        <w:rPr>
          <w:spacing w:val="-1"/>
        </w:rPr>
        <w:t>th</w:t>
      </w:r>
      <w:r>
        <w:t>e</w:t>
      </w:r>
      <w:r>
        <w:rPr>
          <w:spacing w:val="23"/>
        </w:rPr>
        <w:t xml:space="preserve"> </w:t>
      </w:r>
      <w:r>
        <w:t>number</w:t>
      </w:r>
      <w:r>
        <w:rPr>
          <w:spacing w:val="28"/>
        </w:rPr>
        <w:t xml:space="preserve"> </w:t>
      </w:r>
      <w:r>
        <w:rPr>
          <w:spacing w:val="1"/>
        </w:rPr>
        <w:t>o</w:t>
      </w:r>
      <w:r>
        <w:t>f</w:t>
      </w:r>
      <w:r>
        <w:rPr>
          <w:spacing w:val="24"/>
        </w:rPr>
        <w:t xml:space="preserve"> </w:t>
      </w:r>
      <w:r>
        <w:t>awards</w:t>
      </w:r>
      <w:r>
        <w:rPr>
          <w:spacing w:val="28"/>
        </w:rPr>
        <w:t xml:space="preserve"> </w:t>
      </w:r>
      <w:r>
        <w:rPr>
          <w:spacing w:val="1"/>
        </w:rPr>
        <w:t>tha</w:t>
      </w:r>
      <w:r>
        <w:t>t</w:t>
      </w:r>
      <w:r>
        <w:rPr>
          <w:spacing w:val="26"/>
        </w:rPr>
        <w:t xml:space="preserve"> </w:t>
      </w:r>
      <w:r>
        <w:rPr>
          <w:spacing w:val="-1"/>
        </w:rPr>
        <w:t>d</w:t>
      </w:r>
      <w:r>
        <w:t>o</w:t>
      </w:r>
      <w:r>
        <w:rPr>
          <w:spacing w:val="23"/>
        </w:rPr>
        <w:t xml:space="preserve"> </w:t>
      </w:r>
      <w:r>
        <w:rPr>
          <w:spacing w:val="6"/>
        </w:rPr>
        <w:t>m</w:t>
      </w:r>
      <w:r>
        <w:rPr>
          <w:spacing w:val="-5"/>
        </w:rPr>
        <w:t>e</w:t>
      </w:r>
      <w:r>
        <w:t>et</w:t>
      </w:r>
      <w:r>
        <w:rPr>
          <w:spacing w:val="24"/>
        </w:rPr>
        <w:t xml:space="preserve"> </w:t>
      </w:r>
      <w:r>
        <w:rPr>
          <w:spacing w:val="-1"/>
        </w:rPr>
        <w:t>th</w:t>
      </w:r>
      <w:r>
        <w:t>e</w:t>
      </w:r>
      <w:r>
        <w:rPr>
          <w:spacing w:val="23"/>
        </w:rPr>
        <w:t xml:space="preserve"> </w:t>
      </w:r>
      <w:r>
        <w:rPr>
          <w:spacing w:val="-1"/>
        </w:rPr>
        <w:t>relate</w:t>
      </w:r>
      <w:r>
        <w:t>d</w:t>
      </w:r>
      <w:r>
        <w:rPr>
          <w:spacing w:val="26"/>
        </w:rPr>
        <w:t xml:space="preserve"> </w:t>
      </w:r>
      <w:r>
        <w:rPr>
          <w:spacing w:val="-1"/>
        </w:rPr>
        <w:t>servic</w:t>
      </w:r>
      <w:r>
        <w:t>e</w:t>
      </w:r>
      <w:r>
        <w:rPr>
          <w:spacing w:val="27"/>
        </w:rPr>
        <w:t xml:space="preserve"> </w:t>
      </w:r>
      <w:r>
        <w:rPr>
          <w:spacing w:val="-1"/>
          <w:w w:val="101"/>
        </w:rPr>
        <w:t xml:space="preserve">and </w:t>
      </w:r>
      <w:r>
        <w:t>non-market</w:t>
      </w:r>
      <w:r>
        <w:rPr>
          <w:spacing w:val="11"/>
        </w:rPr>
        <w:t xml:space="preserve"> </w:t>
      </w:r>
      <w:r>
        <w:t>performance</w:t>
      </w:r>
      <w:r>
        <w:rPr>
          <w:spacing w:val="11"/>
        </w:rPr>
        <w:t xml:space="preserve"> </w:t>
      </w:r>
      <w:r>
        <w:t>conditions</w:t>
      </w:r>
      <w:r>
        <w:rPr>
          <w:spacing w:val="10"/>
        </w:rPr>
        <w:t xml:space="preserve"> </w:t>
      </w:r>
      <w:r>
        <w:rPr>
          <w:spacing w:val="1"/>
        </w:rPr>
        <w:t>a</w:t>
      </w:r>
      <w:r>
        <w:t>t</w:t>
      </w:r>
      <w:r>
        <w:rPr>
          <w:spacing w:val="4"/>
        </w:rPr>
        <w:t xml:space="preserve"> </w:t>
      </w:r>
      <w:r>
        <w:rPr>
          <w:spacing w:val="-1"/>
        </w:rPr>
        <w:t>th</w:t>
      </w:r>
      <w:r>
        <w:t>e</w:t>
      </w:r>
      <w:r>
        <w:rPr>
          <w:spacing w:val="3"/>
        </w:rPr>
        <w:t xml:space="preserve"> </w:t>
      </w:r>
      <w:r>
        <w:t>vesting</w:t>
      </w:r>
      <w:r>
        <w:rPr>
          <w:spacing w:val="2"/>
        </w:rPr>
        <w:t xml:space="preserve"> </w:t>
      </w:r>
      <w:r>
        <w:t xml:space="preserve">date. </w:t>
      </w:r>
      <w:r>
        <w:rPr>
          <w:spacing w:val="32"/>
        </w:rPr>
        <w:t xml:space="preserve"> </w:t>
      </w:r>
      <w:r>
        <w:rPr>
          <w:spacing w:val="-1"/>
        </w:rPr>
        <w:t>F</w:t>
      </w:r>
      <w:r>
        <w:rPr>
          <w:spacing w:val="1"/>
        </w:rPr>
        <w:t>o</w:t>
      </w:r>
      <w:r>
        <w:t xml:space="preserve">r </w:t>
      </w:r>
      <w:r>
        <w:rPr>
          <w:spacing w:val="-1"/>
        </w:rPr>
        <w:t>share-base</w:t>
      </w:r>
      <w:r>
        <w:t>d</w:t>
      </w:r>
      <w:r>
        <w:rPr>
          <w:spacing w:val="6"/>
        </w:rPr>
        <w:t xml:space="preserve"> </w:t>
      </w:r>
      <w:r>
        <w:t>payment</w:t>
      </w:r>
      <w:r>
        <w:rPr>
          <w:spacing w:val="4"/>
        </w:rPr>
        <w:t xml:space="preserve"> </w:t>
      </w:r>
      <w:r>
        <w:t>awards</w:t>
      </w:r>
      <w:r>
        <w:rPr>
          <w:spacing w:val="2"/>
        </w:rPr>
        <w:t xml:space="preserve"> </w:t>
      </w:r>
      <w:r>
        <w:rPr>
          <w:spacing w:val="1"/>
        </w:rPr>
        <w:t>wit</w:t>
      </w:r>
      <w:r>
        <w:t xml:space="preserve">h </w:t>
      </w:r>
      <w:r>
        <w:rPr>
          <w:w w:val="101"/>
        </w:rPr>
        <w:t xml:space="preserve">non-vesting </w:t>
      </w:r>
      <w:r>
        <w:rPr>
          <w:spacing w:val="1"/>
        </w:rPr>
        <w:t>conditions</w:t>
      </w:r>
      <w:r>
        <w:t>,</w:t>
      </w:r>
      <w:r>
        <w:rPr>
          <w:spacing w:val="41"/>
        </w:rPr>
        <w:t xml:space="preserve"> </w:t>
      </w:r>
      <w:r>
        <w:rPr>
          <w:spacing w:val="-1"/>
        </w:rPr>
        <w:t>th</w:t>
      </w:r>
      <w:r>
        <w:t>e</w:t>
      </w:r>
      <w:r>
        <w:rPr>
          <w:spacing w:val="33"/>
        </w:rPr>
        <w:t xml:space="preserve"> </w:t>
      </w:r>
      <w:r>
        <w:t>grant</w:t>
      </w:r>
      <w:r>
        <w:rPr>
          <w:spacing w:val="36"/>
        </w:rPr>
        <w:t xml:space="preserve"> </w:t>
      </w:r>
      <w:r>
        <w:rPr>
          <w:spacing w:val="-1"/>
        </w:rPr>
        <w:t>dat</w:t>
      </w:r>
      <w:r>
        <w:t>e</w:t>
      </w:r>
      <w:r>
        <w:rPr>
          <w:spacing w:val="34"/>
        </w:rPr>
        <w:t xml:space="preserve"> </w:t>
      </w:r>
      <w:r>
        <w:rPr>
          <w:spacing w:val="1"/>
        </w:rPr>
        <w:t>fai</w:t>
      </w:r>
      <w:r>
        <w:t>r</w:t>
      </w:r>
      <w:r>
        <w:rPr>
          <w:spacing w:val="36"/>
        </w:rPr>
        <w:t xml:space="preserve"> </w:t>
      </w:r>
      <w:r>
        <w:rPr>
          <w:spacing w:val="-1"/>
        </w:rPr>
        <w:t>valu</w:t>
      </w:r>
      <w:r>
        <w:t>e</w:t>
      </w:r>
      <w:r>
        <w:rPr>
          <w:spacing w:val="35"/>
        </w:rPr>
        <w:t xml:space="preserve"> </w:t>
      </w:r>
      <w:r>
        <w:rPr>
          <w:spacing w:val="1"/>
        </w:rPr>
        <w:t>o</w:t>
      </w:r>
      <w:r>
        <w:t>f</w:t>
      </w:r>
      <w:r>
        <w:rPr>
          <w:spacing w:val="34"/>
        </w:rPr>
        <w:t xml:space="preserve"> </w:t>
      </w:r>
      <w:r>
        <w:rPr>
          <w:spacing w:val="-1"/>
        </w:rPr>
        <w:t>th</w:t>
      </w:r>
      <w:r>
        <w:t>e</w:t>
      </w:r>
      <w:r>
        <w:rPr>
          <w:spacing w:val="33"/>
        </w:rPr>
        <w:t xml:space="preserve"> </w:t>
      </w:r>
      <w:r>
        <w:rPr>
          <w:spacing w:val="-1"/>
        </w:rPr>
        <w:t>share-base</w:t>
      </w:r>
      <w:r>
        <w:t>d</w:t>
      </w:r>
      <w:r>
        <w:rPr>
          <w:spacing w:val="41"/>
        </w:rPr>
        <w:t xml:space="preserve"> </w:t>
      </w:r>
      <w:r>
        <w:t>payment</w:t>
      </w:r>
      <w:r>
        <w:rPr>
          <w:spacing w:val="39"/>
        </w:rPr>
        <w:t xml:space="preserve"> </w:t>
      </w:r>
      <w:r>
        <w:rPr>
          <w:spacing w:val="1"/>
        </w:rPr>
        <w:t>i</w:t>
      </w:r>
      <w:r>
        <w:t>s</w:t>
      </w:r>
      <w:r>
        <w:rPr>
          <w:spacing w:val="29"/>
        </w:rPr>
        <w:t xml:space="preserve"> </w:t>
      </w:r>
      <w:r>
        <w:rPr>
          <w:spacing w:val="6"/>
        </w:rPr>
        <w:t>m</w:t>
      </w:r>
      <w:r>
        <w:rPr>
          <w:spacing w:val="-5"/>
        </w:rPr>
        <w:t>e</w:t>
      </w:r>
      <w:r>
        <w:rPr>
          <w:spacing w:val="-1"/>
        </w:rPr>
        <w:t>asure</w:t>
      </w:r>
      <w:r>
        <w:t>d</w:t>
      </w:r>
      <w:r>
        <w:rPr>
          <w:spacing w:val="34"/>
        </w:rPr>
        <w:t xml:space="preserve"> </w:t>
      </w:r>
      <w:r>
        <w:rPr>
          <w:spacing w:val="1"/>
        </w:rPr>
        <w:t>t</w:t>
      </w:r>
      <w:r>
        <w:t>o</w:t>
      </w:r>
      <w:r>
        <w:rPr>
          <w:spacing w:val="29"/>
        </w:rPr>
        <w:t xml:space="preserve"> </w:t>
      </w:r>
      <w:r>
        <w:t>reflect</w:t>
      </w:r>
      <w:r>
        <w:rPr>
          <w:spacing w:val="31"/>
        </w:rPr>
        <w:t xml:space="preserve"> </w:t>
      </w:r>
      <w:r>
        <w:t>such</w:t>
      </w:r>
      <w:r>
        <w:rPr>
          <w:spacing w:val="30"/>
        </w:rPr>
        <w:t xml:space="preserve"> </w:t>
      </w:r>
      <w:r>
        <w:t>conditions</w:t>
      </w:r>
      <w:r>
        <w:rPr>
          <w:spacing w:val="35"/>
        </w:rPr>
        <w:t xml:space="preserve"> </w:t>
      </w:r>
      <w:r>
        <w:rPr>
          <w:spacing w:val="-1"/>
          <w:w w:val="101"/>
        </w:rPr>
        <w:t xml:space="preserve">and </w:t>
      </w:r>
      <w:r>
        <w:t>there</w:t>
      </w:r>
      <w:r>
        <w:rPr>
          <w:spacing w:val="4"/>
        </w:rPr>
        <w:t xml:space="preserve"> </w:t>
      </w:r>
      <w:r>
        <w:t>is</w:t>
      </w:r>
      <w:r>
        <w:rPr>
          <w:spacing w:val="1"/>
        </w:rPr>
        <w:t xml:space="preserve"> </w:t>
      </w:r>
      <w:r>
        <w:t>no</w:t>
      </w:r>
      <w:r>
        <w:rPr>
          <w:spacing w:val="2"/>
        </w:rPr>
        <w:t xml:space="preserve"> </w:t>
      </w:r>
      <w:r>
        <w:t>true-up</w:t>
      </w:r>
      <w:r>
        <w:rPr>
          <w:spacing w:val="6"/>
        </w:rPr>
        <w:t xml:space="preserve"> </w:t>
      </w:r>
      <w:r>
        <w:t>for</w:t>
      </w:r>
      <w:r>
        <w:rPr>
          <w:spacing w:val="2"/>
        </w:rPr>
        <w:t xml:space="preserve"> </w:t>
      </w:r>
      <w:r>
        <w:t>differences</w:t>
      </w:r>
      <w:r>
        <w:rPr>
          <w:spacing w:val="9"/>
        </w:rPr>
        <w:t xml:space="preserve"> </w:t>
      </w:r>
      <w:r>
        <w:t>between</w:t>
      </w:r>
      <w:r>
        <w:rPr>
          <w:spacing w:val="7"/>
        </w:rPr>
        <w:t xml:space="preserve"> </w:t>
      </w:r>
      <w:r>
        <w:t>expected</w:t>
      </w:r>
      <w:r>
        <w:rPr>
          <w:spacing w:val="7"/>
        </w:rPr>
        <w:t xml:space="preserve"> </w:t>
      </w:r>
      <w:r>
        <w:t>and</w:t>
      </w:r>
      <w:r>
        <w:rPr>
          <w:spacing w:val="3"/>
        </w:rPr>
        <w:t xml:space="preserve"> </w:t>
      </w:r>
      <w:r>
        <w:t>actual</w:t>
      </w:r>
      <w:r>
        <w:rPr>
          <w:spacing w:val="5"/>
        </w:rPr>
        <w:t xml:space="preserve"> </w:t>
      </w:r>
      <w:r>
        <w:rPr>
          <w:w w:val="101"/>
        </w:rPr>
        <w:t>outcomes.</w:t>
      </w:r>
    </w:p>
    <w:p w14:paraId="21431122" w14:textId="77777777" w:rsidR="003B1595" w:rsidRPr="00EB61CA" w:rsidRDefault="003B1595" w:rsidP="00EB61CA">
      <w:pPr>
        <w:pStyle w:val="Note-Sub-normal2"/>
        <w:rPr>
          <w:w w:val="101"/>
        </w:rPr>
      </w:pPr>
      <w:r>
        <w:rPr>
          <w:spacing w:val="-1"/>
        </w:rPr>
        <w:t>Share-base</w:t>
      </w:r>
      <w:r>
        <w:t>d</w:t>
      </w:r>
      <w:r>
        <w:rPr>
          <w:spacing w:val="26"/>
        </w:rPr>
        <w:t xml:space="preserve"> </w:t>
      </w:r>
      <w:r>
        <w:t>payment</w:t>
      </w:r>
      <w:r>
        <w:rPr>
          <w:spacing w:val="24"/>
        </w:rPr>
        <w:t xml:space="preserve"> </w:t>
      </w:r>
      <w:r>
        <w:t>arrangements</w:t>
      </w:r>
      <w:r>
        <w:rPr>
          <w:spacing w:val="28"/>
        </w:rPr>
        <w:t xml:space="preserve"> </w:t>
      </w:r>
      <w:r>
        <w:rPr>
          <w:spacing w:val="1"/>
        </w:rPr>
        <w:t>i</w:t>
      </w:r>
      <w:r>
        <w:t>n</w:t>
      </w:r>
      <w:r>
        <w:rPr>
          <w:spacing w:val="19"/>
        </w:rPr>
        <w:t xml:space="preserve"> </w:t>
      </w:r>
      <w:r>
        <w:t>which</w:t>
      </w:r>
      <w:r>
        <w:rPr>
          <w:spacing w:val="22"/>
        </w:rPr>
        <w:t xml:space="preserve"> </w:t>
      </w:r>
      <w:r>
        <w:rPr>
          <w:spacing w:val="-1"/>
        </w:rPr>
        <w:t>th</w:t>
      </w:r>
      <w:r>
        <w:t>e</w:t>
      </w:r>
      <w:r>
        <w:rPr>
          <w:spacing w:val="18"/>
        </w:rPr>
        <w:t xml:space="preserve"> </w:t>
      </w:r>
      <w:r>
        <w:t>Company</w:t>
      </w:r>
      <w:r>
        <w:rPr>
          <w:spacing w:val="26"/>
        </w:rPr>
        <w:t xml:space="preserve"> </w:t>
      </w:r>
      <w:r>
        <w:rPr>
          <w:spacing w:val="-1"/>
        </w:rPr>
        <w:t>receive</w:t>
      </w:r>
      <w:r>
        <w:t>s</w:t>
      </w:r>
      <w:r>
        <w:rPr>
          <w:spacing w:val="18"/>
        </w:rPr>
        <w:t xml:space="preserve"> </w:t>
      </w:r>
      <w:r>
        <w:rPr>
          <w:spacing w:val="-1"/>
        </w:rPr>
        <w:t>good</w:t>
      </w:r>
      <w:r>
        <w:t>s</w:t>
      </w:r>
      <w:r>
        <w:rPr>
          <w:spacing w:val="17"/>
        </w:rPr>
        <w:t xml:space="preserve"> </w:t>
      </w:r>
      <w:r>
        <w:rPr>
          <w:spacing w:val="1"/>
        </w:rPr>
        <w:t>o</w:t>
      </w:r>
      <w:r>
        <w:t>r</w:t>
      </w:r>
      <w:r>
        <w:rPr>
          <w:spacing w:val="15"/>
        </w:rPr>
        <w:t xml:space="preserve"> </w:t>
      </w:r>
      <w:r>
        <w:rPr>
          <w:spacing w:val="-1"/>
        </w:rPr>
        <w:t>service</w:t>
      </w:r>
      <w:r>
        <w:t>s</w:t>
      </w:r>
      <w:r>
        <w:rPr>
          <w:spacing w:val="18"/>
        </w:rPr>
        <w:t xml:space="preserve"> </w:t>
      </w:r>
      <w:r>
        <w:t>as</w:t>
      </w:r>
      <w:r>
        <w:rPr>
          <w:spacing w:val="14"/>
        </w:rPr>
        <w:t xml:space="preserve"> </w:t>
      </w:r>
      <w:r>
        <w:t>consideration</w:t>
      </w:r>
      <w:r>
        <w:rPr>
          <w:spacing w:val="23"/>
        </w:rPr>
        <w:t xml:space="preserve"> </w:t>
      </w:r>
      <w:r>
        <w:rPr>
          <w:spacing w:val="1"/>
        </w:rPr>
        <w:t>fo</w:t>
      </w:r>
      <w:r>
        <w:t>r</w:t>
      </w:r>
      <w:r>
        <w:rPr>
          <w:spacing w:val="15"/>
        </w:rPr>
        <w:t xml:space="preserve"> </w:t>
      </w:r>
      <w:r>
        <w:rPr>
          <w:spacing w:val="2"/>
          <w:w w:val="101"/>
        </w:rPr>
        <w:t xml:space="preserve">its </w:t>
      </w:r>
      <w:r>
        <w:rPr>
          <w:spacing w:val="-1"/>
        </w:rPr>
        <w:t>ow</w:t>
      </w:r>
      <w:r>
        <w:t>n</w:t>
      </w:r>
      <w:r>
        <w:rPr>
          <w:spacing w:val="43"/>
        </w:rPr>
        <w:t xml:space="preserve"> </w:t>
      </w:r>
      <w:r>
        <w:t>equity</w:t>
      </w:r>
      <w:r>
        <w:rPr>
          <w:spacing w:val="46"/>
        </w:rPr>
        <w:t xml:space="preserve"> </w:t>
      </w:r>
      <w:r>
        <w:rPr>
          <w:spacing w:val="1"/>
        </w:rPr>
        <w:t>instrument</w:t>
      </w:r>
      <w:r>
        <w:t>s</w:t>
      </w:r>
      <w:r>
        <w:rPr>
          <w:spacing w:val="46"/>
        </w:rPr>
        <w:t xml:space="preserve"> </w:t>
      </w:r>
      <w:r>
        <w:rPr>
          <w:spacing w:val="-1"/>
        </w:rPr>
        <w:t>ar</w:t>
      </w:r>
      <w:r>
        <w:t>e</w:t>
      </w:r>
      <w:r>
        <w:rPr>
          <w:spacing w:val="38"/>
        </w:rPr>
        <w:t xml:space="preserve"> </w:t>
      </w:r>
      <w:r>
        <w:rPr>
          <w:spacing w:val="-1"/>
        </w:rPr>
        <w:t>accounte</w:t>
      </w:r>
      <w:r>
        <w:t>d</w:t>
      </w:r>
      <w:r>
        <w:rPr>
          <w:spacing w:val="44"/>
        </w:rPr>
        <w:t xml:space="preserve"> </w:t>
      </w:r>
      <w:r>
        <w:rPr>
          <w:spacing w:val="1"/>
        </w:rPr>
        <w:t>fo</w:t>
      </w:r>
      <w:r>
        <w:t>r</w:t>
      </w:r>
      <w:r>
        <w:rPr>
          <w:spacing w:val="39"/>
        </w:rPr>
        <w:t xml:space="preserve"> </w:t>
      </w:r>
      <w:r>
        <w:t>as</w:t>
      </w:r>
      <w:r>
        <w:rPr>
          <w:spacing w:val="38"/>
        </w:rPr>
        <w:t xml:space="preserve"> </w:t>
      </w:r>
      <w:r>
        <w:t>equity-settled</w:t>
      </w:r>
      <w:r>
        <w:rPr>
          <w:spacing w:val="47"/>
        </w:rPr>
        <w:t xml:space="preserve"> </w:t>
      </w:r>
      <w:r>
        <w:rPr>
          <w:spacing w:val="-1"/>
        </w:rPr>
        <w:t>share-base</w:t>
      </w:r>
      <w:r>
        <w:t>d</w:t>
      </w:r>
      <w:r>
        <w:rPr>
          <w:spacing w:val="45"/>
        </w:rPr>
        <w:t xml:space="preserve"> </w:t>
      </w:r>
      <w:r>
        <w:t>payment</w:t>
      </w:r>
      <w:r>
        <w:rPr>
          <w:spacing w:val="44"/>
        </w:rPr>
        <w:t xml:space="preserve"> </w:t>
      </w:r>
      <w:r>
        <w:rPr>
          <w:spacing w:val="1"/>
        </w:rPr>
        <w:t>transactions</w:t>
      </w:r>
      <w:r>
        <w:t>.</w:t>
      </w:r>
      <w:r>
        <w:rPr>
          <w:spacing w:val="47"/>
        </w:rPr>
        <w:t xml:space="preserve"> </w:t>
      </w:r>
      <w:r>
        <w:rPr>
          <w:spacing w:val="1"/>
        </w:rPr>
        <w:t>I</w:t>
      </w:r>
      <w:r>
        <w:t>n</w:t>
      </w:r>
      <w:r>
        <w:rPr>
          <w:spacing w:val="39"/>
        </w:rPr>
        <w:t xml:space="preserve"> </w:t>
      </w:r>
      <w:r>
        <w:rPr>
          <w:spacing w:val="1"/>
          <w:w w:val="101"/>
        </w:rPr>
        <w:t xml:space="preserve">situations </w:t>
      </w:r>
      <w:r>
        <w:t>where</w:t>
      </w:r>
      <w:r>
        <w:rPr>
          <w:spacing w:val="5"/>
        </w:rPr>
        <w:t xml:space="preserve"> </w:t>
      </w:r>
      <w:r>
        <w:t>equity</w:t>
      </w:r>
      <w:r>
        <w:rPr>
          <w:spacing w:val="7"/>
        </w:rPr>
        <w:t xml:space="preserve"> </w:t>
      </w:r>
      <w:r>
        <w:rPr>
          <w:spacing w:val="1"/>
        </w:rPr>
        <w:t>instrument</w:t>
      </w:r>
      <w:r>
        <w:t>s</w:t>
      </w:r>
      <w:r>
        <w:rPr>
          <w:spacing w:val="14"/>
        </w:rPr>
        <w:t xml:space="preserve"> </w:t>
      </w:r>
      <w:r>
        <w:rPr>
          <w:spacing w:val="-1"/>
        </w:rPr>
        <w:t>ar</w:t>
      </w:r>
      <w:r>
        <w:t>e</w:t>
      </w:r>
      <w:r>
        <w:rPr>
          <w:spacing w:val="4"/>
        </w:rPr>
        <w:t xml:space="preserve"> </w:t>
      </w:r>
      <w:r>
        <w:rPr>
          <w:spacing w:val="-1"/>
        </w:rPr>
        <w:t>issue</w:t>
      </w:r>
      <w:r>
        <w:t>d</w:t>
      </w:r>
      <w:r>
        <w:rPr>
          <w:spacing w:val="8"/>
        </w:rPr>
        <w:t xml:space="preserve"> </w:t>
      </w:r>
      <w:r>
        <w:rPr>
          <w:spacing w:val="-1"/>
        </w:rPr>
        <w:t>an</w:t>
      </w:r>
      <w:r>
        <w:t>d</w:t>
      </w:r>
      <w:r>
        <w:rPr>
          <w:spacing w:val="5"/>
        </w:rPr>
        <w:t xml:space="preserve"> </w:t>
      </w:r>
      <w:r>
        <w:t>some</w:t>
      </w:r>
      <w:r>
        <w:rPr>
          <w:spacing w:val="8"/>
        </w:rPr>
        <w:t xml:space="preserve"> </w:t>
      </w:r>
      <w:r>
        <w:rPr>
          <w:spacing w:val="1"/>
        </w:rPr>
        <w:t>o</w:t>
      </w:r>
      <w:r>
        <w:t>r</w:t>
      </w:r>
      <w:r>
        <w:rPr>
          <w:spacing w:val="5"/>
        </w:rPr>
        <w:t xml:space="preserve"> </w:t>
      </w:r>
      <w:r>
        <w:rPr>
          <w:spacing w:val="2"/>
        </w:rPr>
        <w:t>al</w:t>
      </w:r>
      <w:r>
        <w:t>l</w:t>
      </w:r>
      <w:r>
        <w:rPr>
          <w:spacing w:val="6"/>
        </w:rPr>
        <w:t xml:space="preserve"> </w:t>
      </w:r>
      <w:r>
        <w:rPr>
          <w:spacing w:val="1"/>
        </w:rPr>
        <w:t>o</w:t>
      </w:r>
      <w:r>
        <w:t>f</w:t>
      </w:r>
      <w:r>
        <w:rPr>
          <w:spacing w:val="5"/>
        </w:rPr>
        <w:t xml:space="preserve"> </w:t>
      </w:r>
      <w:r>
        <w:rPr>
          <w:spacing w:val="-1"/>
        </w:rPr>
        <w:t>th</w:t>
      </w:r>
      <w:r>
        <w:t>e</w:t>
      </w:r>
      <w:r>
        <w:rPr>
          <w:spacing w:val="4"/>
        </w:rPr>
        <w:t xml:space="preserve"> </w:t>
      </w:r>
      <w:r>
        <w:rPr>
          <w:spacing w:val="-1"/>
        </w:rPr>
        <w:t>good</w:t>
      </w:r>
      <w:r>
        <w:t>s</w:t>
      </w:r>
      <w:r>
        <w:rPr>
          <w:spacing w:val="7"/>
        </w:rPr>
        <w:t xml:space="preserve"> </w:t>
      </w:r>
      <w:r>
        <w:rPr>
          <w:spacing w:val="1"/>
        </w:rPr>
        <w:t>o</w:t>
      </w:r>
      <w:r>
        <w:t>r</w:t>
      </w:r>
      <w:r>
        <w:rPr>
          <w:spacing w:val="5"/>
        </w:rPr>
        <w:t xml:space="preserve"> </w:t>
      </w:r>
      <w:r>
        <w:rPr>
          <w:spacing w:val="-1"/>
        </w:rPr>
        <w:t>service</w:t>
      </w:r>
      <w:r>
        <w:t>s</w:t>
      </w:r>
      <w:r>
        <w:rPr>
          <w:spacing w:val="9"/>
        </w:rPr>
        <w:t xml:space="preserve"> </w:t>
      </w:r>
      <w:r>
        <w:t>received</w:t>
      </w:r>
      <w:r>
        <w:rPr>
          <w:spacing w:val="8"/>
        </w:rPr>
        <w:t xml:space="preserve"> </w:t>
      </w:r>
      <w:r>
        <w:t xml:space="preserve">by </w:t>
      </w:r>
      <w:r>
        <w:rPr>
          <w:spacing w:val="-1"/>
        </w:rPr>
        <w:t>th</w:t>
      </w:r>
      <w:r>
        <w:t>e entity</w:t>
      </w:r>
      <w:r>
        <w:rPr>
          <w:spacing w:val="3"/>
        </w:rPr>
        <w:t xml:space="preserve"> </w:t>
      </w:r>
      <w:r>
        <w:rPr>
          <w:spacing w:val="-1"/>
          <w:w w:val="101"/>
        </w:rPr>
        <w:t xml:space="preserve">as </w:t>
      </w:r>
      <w:r>
        <w:t>consideration</w:t>
      </w:r>
      <w:r>
        <w:rPr>
          <w:spacing w:val="12"/>
        </w:rPr>
        <w:t xml:space="preserve"> </w:t>
      </w:r>
      <w:r>
        <w:t>cannot</w:t>
      </w:r>
      <w:r>
        <w:rPr>
          <w:spacing w:val="6"/>
        </w:rPr>
        <w:t xml:space="preserve"> </w:t>
      </w:r>
      <w:r>
        <w:t>be</w:t>
      </w:r>
      <w:r>
        <w:rPr>
          <w:spacing w:val="3"/>
        </w:rPr>
        <w:t xml:space="preserve"> </w:t>
      </w:r>
      <w:r>
        <w:t>specifically</w:t>
      </w:r>
      <w:r>
        <w:rPr>
          <w:spacing w:val="10"/>
        </w:rPr>
        <w:t xml:space="preserve"> </w:t>
      </w:r>
      <w:r>
        <w:t>identified,</w:t>
      </w:r>
      <w:r>
        <w:rPr>
          <w:spacing w:val="9"/>
        </w:rPr>
        <w:t xml:space="preserve"> </w:t>
      </w:r>
      <w:r>
        <w:t>they</w:t>
      </w:r>
      <w:r>
        <w:rPr>
          <w:spacing w:val="4"/>
        </w:rPr>
        <w:t xml:space="preserve"> </w:t>
      </w:r>
      <w:r>
        <w:t>are</w:t>
      </w:r>
      <w:r>
        <w:rPr>
          <w:spacing w:val="4"/>
        </w:rPr>
        <w:t xml:space="preserve"> </w:t>
      </w:r>
      <w:r>
        <w:t>measured</w:t>
      </w:r>
      <w:r>
        <w:rPr>
          <w:spacing w:val="9"/>
        </w:rPr>
        <w:t xml:space="preserve"> </w:t>
      </w:r>
      <w:r>
        <w:t>at</w:t>
      </w:r>
      <w:r>
        <w:rPr>
          <w:spacing w:val="2"/>
        </w:rPr>
        <w:t xml:space="preserve"> </w:t>
      </w:r>
      <w:r>
        <w:t>fair</w:t>
      </w:r>
      <w:r>
        <w:rPr>
          <w:spacing w:val="3"/>
        </w:rPr>
        <w:t xml:space="preserve"> </w:t>
      </w:r>
      <w:r>
        <w:t>value</w:t>
      </w:r>
      <w:r>
        <w:rPr>
          <w:spacing w:val="5"/>
        </w:rPr>
        <w:t xml:space="preserve"> </w:t>
      </w:r>
      <w:r>
        <w:t>of</w:t>
      </w:r>
      <w:r>
        <w:rPr>
          <w:spacing w:val="2"/>
        </w:rPr>
        <w:t xml:space="preserve"> </w:t>
      </w:r>
      <w:r>
        <w:t>the</w:t>
      </w:r>
      <w:r>
        <w:rPr>
          <w:spacing w:val="3"/>
        </w:rPr>
        <w:t xml:space="preserve"> </w:t>
      </w:r>
      <w:r>
        <w:t>share-based</w:t>
      </w:r>
      <w:r>
        <w:rPr>
          <w:spacing w:val="11"/>
        </w:rPr>
        <w:t xml:space="preserve"> </w:t>
      </w:r>
      <w:r>
        <w:rPr>
          <w:w w:val="101"/>
        </w:rPr>
        <w:t>payment.</w:t>
      </w:r>
    </w:p>
    <w:p w14:paraId="24F4FFA6" w14:textId="77777777" w:rsidR="00EB61CA" w:rsidRDefault="00EB61CA" w:rsidP="00816B5A">
      <w:pPr>
        <w:pStyle w:val="Note-Sub-heading"/>
      </w:pPr>
    </w:p>
    <w:p w14:paraId="660042EB" w14:textId="77777777" w:rsidR="00C417E7" w:rsidRDefault="00C417E7" w:rsidP="00EB61CA">
      <w:pPr>
        <w:pStyle w:val="Note-Heading"/>
      </w:pPr>
    </w:p>
    <w:p w14:paraId="33141361" w14:textId="77777777" w:rsidR="00EB61CA" w:rsidRDefault="00EB61CA" w:rsidP="00EB61CA">
      <w:pPr>
        <w:pStyle w:val="Note-Heading"/>
      </w:pPr>
      <w:r w:rsidRPr="0040763B">
        <w:t>3</w:t>
      </w:r>
      <w:r>
        <w:t>.</w:t>
      </w:r>
      <w:r>
        <w:tab/>
      </w:r>
      <w:r w:rsidRPr="006609F2">
        <w:t>Significant</w:t>
      </w:r>
      <w:r w:rsidRPr="0040763B">
        <w:t xml:space="preserve"> </w:t>
      </w:r>
      <w:r w:rsidRPr="006609F2">
        <w:t>accounting</w:t>
      </w:r>
      <w:r w:rsidRPr="0040763B">
        <w:t xml:space="preserve"> policies</w:t>
      </w:r>
      <w:r>
        <w:t xml:space="preserve"> (continued)</w:t>
      </w:r>
      <w:r w:rsidRPr="0040763B">
        <w:t>:</w:t>
      </w:r>
    </w:p>
    <w:p w14:paraId="24383A32" w14:textId="77777777" w:rsidR="003B1595" w:rsidRDefault="00F97A09" w:rsidP="00816B5A">
      <w:pPr>
        <w:pStyle w:val="Note-Sub-heading"/>
      </w:pPr>
      <w:r>
        <w:t>(i</w:t>
      </w:r>
      <w:r w:rsidR="003B1595">
        <w:t>)</w:t>
      </w:r>
      <w:r w:rsidR="00F92FF8">
        <w:tab/>
      </w:r>
      <w:r w:rsidR="003B1595">
        <w:t>Government</w:t>
      </w:r>
      <w:r w:rsidR="003B1595">
        <w:rPr>
          <w:spacing w:val="13"/>
        </w:rPr>
        <w:t xml:space="preserve"> </w:t>
      </w:r>
      <w:r w:rsidR="003B1595">
        <w:rPr>
          <w:w w:val="101"/>
        </w:rPr>
        <w:t>grants</w:t>
      </w:r>
    </w:p>
    <w:p w14:paraId="1C1D4E5B" w14:textId="77777777" w:rsidR="003B1595" w:rsidRDefault="003B1595" w:rsidP="00E67445">
      <w:pPr>
        <w:pStyle w:val="Note-Sub-normal"/>
      </w:pPr>
      <w:r>
        <w:rPr>
          <w:spacing w:val="-1"/>
        </w:rPr>
        <w:t>A</w:t>
      </w:r>
      <w:r w:rsidR="00316B38">
        <w:t xml:space="preserve"> </w:t>
      </w:r>
      <w:r>
        <w:t>conditional</w:t>
      </w:r>
      <w:r w:rsidR="00316B38">
        <w:t>ly repayable</w:t>
      </w:r>
      <w:r>
        <w:rPr>
          <w:spacing w:val="24"/>
        </w:rPr>
        <w:t xml:space="preserve"> </w:t>
      </w:r>
      <w:r>
        <w:t>government</w:t>
      </w:r>
      <w:r>
        <w:rPr>
          <w:spacing w:val="21"/>
        </w:rPr>
        <w:t xml:space="preserve"> </w:t>
      </w:r>
      <w:r>
        <w:t>grant</w:t>
      </w:r>
      <w:r>
        <w:rPr>
          <w:spacing w:val="17"/>
        </w:rPr>
        <w:t xml:space="preserve"> </w:t>
      </w:r>
      <w:r>
        <w:rPr>
          <w:spacing w:val="1"/>
        </w:rPr>
        <w:t>relate</w:t>
      </w:r>
      <w:r>
        <w:t>d</w:t>
      </w:r>
      <w:r>
        <w:rPr>
          <w:spacing w:val="7"/>
        </w:rPr>
        <w:t xml:space="preserve"> </w:t>
      </w:r>
      <w:r>
        <w:rPr>
          <w:spacing w:val="1"/>
        </w:rPr>
        <w:t>t</w:t>
      </w:r>
      <w:r>
        <w:t>o</w:t>
      </w:r>
      <w:r w:rsidR="00316B38">
        <w:rPr>
          <w:spacing w:val="3"/>
        </w:rPr>
        <w:t xml:space="preserve"> general and administrative </w:t>
      </w:r>
      <w:r>
        <w:rPr>
          <w:spacing w:val="1"/>
        </w:rPr>
        <w:t>activitie</w:t>
      </w:r>
      <w:r>
        <w:t>s</w:t>
      </w:r>
      <w:r>
        <w:rPr>
          <w:spacing w:val="9"/>
        </w:rPr>
        <w:t xml:space="preserve"> </w:t>
      </w:r>
      <w:r>
        <w:rPr>
          <w:spacing w:val="1"/>
        </w:rPr>
        <w:t>i</w:t>
      </w:r>
      <w:r>
        <w:t>s</w:t>
      </w:r>
      <w:r>
        <w:rPr>
          <w:spacing w:val="3"/>
        </w:rPr>
        <w:t xml:space="preserve"> </w:t>
      </w:r>
      <w:r>
        <w:rPr>
          <w:spacing w:val="1"/>
        </w:rPr>
        <w:t>recognize</w:t>
      </w:r>
      <w:r>
        <w:t>d</w:t>
      </w:r>
      <w:r>
        <w:rPr>
          <w:spacing w:val="11"/>
        </w:rPr>
        <w:t xml:space="preserve"> </w:t>
      </w:r>
      <w:r>
        <w:rPr>
          <w:spacing w:val="1"/>
        </w:rPr>
        <w:t>i</w:t>
      </w:r>
      <w:r>
        <w:t>n</w:t>
      </w:r>
      <w:r>
        <w:rPr>
          <w:spacing w:val="3"/>
        </w:rPr>
        <w:t xml:space="preserve"> </w:t>
      </w:r>
      <w:r>
        <w:rPr>
          <w:spacing w:val="1"/>
        </w:rPr>
        <w:t>profi</w:t>
      </w:r>
      <w:r>
        <w:t>t</w:t>
      </w:r>
      <w:r>
        <w:rPr>
          <w:spacing w:val="6"/>
        </w:rPr>
        <w:t xml:space="preserve"> </w:t>
      </w:r>
      <w:r>
        <w:rPr>
          <w:spacing w:val="1"/>
        </w:rPr>
        <w:t>o</w:t>
      </w:r>
      <w:r>
        <w:t>r</w:t>
      </w:r>
      <w:r>
        <w:rPr>
          <w:spacing w:val="4"/>
        </w:rPr>
        <w:t xml:space="preserve"> </w:t>
      </w:r>
      <w:r>
        <w:rPr>
          <w:spacing w:val="1"/>
          <w:w w:val="101"/>
        </w:rPr>
        <w:t xml:space="preserve">loss </w:t>
      </w:r>
      <w:r>
        <w:t>as</w:t>
      </w:r>
      <w:r>
        <w:rPr>
          <w:spacing w:val="2"/>
        </w:rPr>
        <w:t xml:space="preserve"> </w:t>
      </w:r>
      <w:r>
        <w:t>a</w:t>
      </w:r>
      <w:r>
        <w:rPr>
          <w:spacing w:val="1"/>
        </w:rPr>
        <w:t xml:space="preserve"> </w:t>
      </w:r>
      <w:r>
        <w:t>deduction</w:t>
      </w:r>
      <w:r>
        <w:rPr>
          <w:spacing w:val="8"/>
        </w:rPr>
        <w:t xml:space="preserve"> </w:t>
      </w:r>
      <w:r>
        <w:t>from</w:t>
      </w:r>
      <w:r>
        <w:rPr>
          <w:spacing w:val="4"/>
        </w:rPr>
        <w:t xml:space="preserve"> </w:t>
      </w:r>
      <w:r>
        <w:t>the</w:t>
      </w:r>
      <w:r>
        <w:rPr>
          <w:spacing w:val="3"/>
        </w:rPr>
        <w:t xml:space="preserve"> </w:t>
      </w:r>
      <w:r>
        <w:t>related</w:t>
      </w:r>
      <w:r>
        <w:rPr>
          <w:spacing w:val="5"/>
        </w:rPr>
        <w:t xml:space="preserve"> </w:t>
      </w:r>
      <w:r>
        <w:t>expenditure</w:t>
      </w:r>
      <w:r>
        <w:rPr>
          <w:spacing w:val="9"/>
        </w:rPr>
        <w:t xml:space="preserve"> </w:t>
      </w:r>
      <w:r>
        <w:t>when</w:t>
      </w:r>
      <w:r>
        <w:rPr>
          <w:spacing w:val="4"/>
        </w:rPr>
        <w:t xml:space="preserve"> </w:t>
      </w:r>
      <w:r>
        <w:t>the</w:t>
      </w:r>
      <w:r>
        <w:rPr>
          <w:spacing w:val="3"/>
        </w:rPr>
        <w:t xml:space="preserve"> </w:t>
      </w:r>
      <w:r>
        <w:t>grant</w:t>
      </w:r>
      <w:r>
        <w:rPr>
          <w:spacing w:val="4"/>
        </w:rPr>
        <w:t xml:space="preserve"> </w:t>
      </w:r>
      <w:r>
        <w:t>becomes</w:t>
      </w:r>
      <w:r>
        <w:rPr>
          <w:spacing w:val="7"/>
        </w:rPr>
        <w:t xml:space="preserve"> </w:t>
      </w:r>
      <w:r>
        <w:rPr>
          <w:w w:val="101"/>
        </w:rPr>
        <w:t>receivable.</w:t>
      </w:r>
      <w:r w:rsidR="00F62891">
        <w:rPr>
          <w:w w:val="101"/>
        </w:rPr>
        <w:t xml:space="preserve"> </w:t>
      </w:r>
      <w:r w:rsidR="0055027D">
        <w:rPr>
          <w:w w:val="101"/>
        </w:rPr>
        <w:t>In the ev</w:t>
      </w:r>
      <w:r w:rsidR="00AC0FB8">
        <w:rPr>
          <w:w w:val="101"/>
        </w:rPr>
        <w:t>ent that the conditions are met</w:t>
      </w:r>
      <w:r w:rsidR="0055027D">
        <w:rPr>
          <w:w w:val="101"/>
        </w:rPr>
        <w:t xml:space="preserve"> the grant repayable is r</w:t>
      </w:r>
      <w:r w:rsidR="0055027D">
        <w:rPr>
          <w:spacing w:val="1"/>
        </w:rPr>
        <w:t>ecognize</w:t>
      </w:r>
      <w:r w:rsidR="0055027D">
        <w:t>d</w:t>
      </w:r>
      <w:r w:rsidR="0055027D">
        <w:rPr>
          <w:spacing w:val="11"/>
        </w:rPr>
        <w:t xml:space="preserve"> </w:t>
      </w:r>
      <w:r w:rsidR="0055027D">
        <w:rPr>
          <w:spacing w:val="1"/>
        </w:rPr>
        <w:t>i</w:t>
      </w:r>
      <w:r w:rsidR="0055027D">
        <w:t>n</w:t>
      </w:r>
      <w:r w:rsidR="0055027D">
        <w:rPr>
          <w:spacing w:val="3"/>
        </w:rPr>
        <w:t xml:space="preserve"> </w:t>
      </w:r>
      <w:r w:rsidR="0055027D">
        <w:rPr>
          <w:spacing w:val="1"/>
        </w:rPr>
        <w:t>profi</w:t>
      </w:r>
      <w:r w:rsidR="0055027D">
        <w:t>t</w:t>
      </w:r>
      <w:r w:rsidR="0055027D">
        <w:rPr>
          <w:spacing w:val="6"/>
        </w:rPr>
        <w:t xml:space="preserve"> </w:t>
      </w:r>
      <w:r w:rsidR="0055027D">
        <w:rPr>
          <w:spacing w:val="1"/>
        </w:rPr>
        <w:t>o</w:t>
      </w:r>
      <w:r w:rsidR="0055027D">
        <w:t>r</w:t>
      </w:r>
      <w:r w:rsidR="0055027D">
        <w:rPr>
          <w:spacing w:val="4"/>
        </w:rPr>
        <w:t xml:space="preserve"> </w:t>
      </w:r>
      <w:r w:rsidR="0055027D">
        <w:rPr>
          <w:spacing w:val="1"/>
          <w:w w:val="101"/>
        </w:rPr>
        <w:t xml:space="preserve">loss </w:t>
      </w:r>
      <w:r w:rsidR="0055027D">
        <w:t>as</w:t>
      </w:r>
      <w:r w:rsidR="0055027D">
        <w:rPr>
          <w:spacing w:val="2"/>
        </w:rPr>
        <w:t xml:space="preserve"> </w:t>
      </w:r>
      <w:r w:rsidR="0055027D">
        <w:t>an</w:t>
      </w:r>
      <w:r w:rsidR="0055027D">
        <w:rPr>
          <w:spacing w:val="1"/>
        </w:rPr>
        <w:t xml:space="preserve"> addition</w:t>
      </w:r>
      <w:r w:rsidR="0055027D">
        <w:rPr>
          <w:spacing w:val="8"/>
        </w:rPr>
        <w:t xml:space="preserve"> to </w:t>
      </w:r>
      <w:r w:rsidR="0055027D">
        <w:t>the</w:t>
      </w:r>
      <w:r w:rsidR="0055027D">
        <w:rPr>
          <w:spacing w:val="3"/>
        </w:rPr>
        <w:t xml:space="preserve"> </w:t>
      </w:r>
      <w:r w:rsidR="0055027D">
        <w:t>related</w:t>
      </w:r>
      <w:r w:rsidR="0055027D">
        <w:rPr>
          <w:spacing w:val="5"/>
        </w:rPr>
        <w:t xml:space="preserve"> </w:t>
      </w:r>
      <w:r w:rsidR="0055027D">
        <w:t>expenditure.</w:t>
      </w:r>
      <w:r w:rsidR="0055027D">
        <w:rPr>
          <w:spacing w:val="9"/>
        </w:rPr>
        <w:t xml:space="preserve"> </w:t>
      </w:r>
      <w:r w:rsidR="00DD4A91">
        <w:rPr>
          <w:w w:val="101"/>
        </w:rPr>
        <w:t>Grants that compensate the C</w:t>
      </w:r>
      <w:r w:rsidR="00F62891">
        <w:rPr>
          <w:w w:val="101"/>
        </w:rPr>
        <w:t>ompany for the cost of an asset are recognized in profit or loss on a systematic basis over the useful life of the asset.</w:t>
      </w:r>
    </w:p>
    <w:p w14:paraId="2B53C9C2" w14:textId="77777777" w:rsidR="0029295E" w:rsidRDefault="00F97A09" w:rsidP="00F92FF8">
      <w:pPr>
        <w:pStyle w:val="Note-Sub-heading"/>
      </w:pPr>
      <w:r>
        <w:t>(j</w:t>
      </w:r>
      <w:r w:rsidR="0029295E">
        <w:t>)</w:t>
      </w:r>
      <w:r w:rsidR="00F92FF8">
        <w:tab/>
      </w:r>
      <w:r w:rsidR="0029295E">
        <w:t>Finance</w:t>
      </w:r>
      <w:r w:rsidR="0029295E">
        <w:rPr>
          <w:spacing w:val="8"/>
        </w:rPr>
        <w:t xml:space="preserve"> </w:t>
      </w:r>
      <w:r w:rsidR="0029295E">
        <w:t>income</w:t>
      </w:r>
      <w:r w:rsidR="0029295E">
        <w:rPr>
          <w:spacing w:val="7"/>
        </w:rPr>
        <w:t xml:space="preserve"> </w:t>
      </w:r>
      <w:r w:rsidR="0029295E">
        <w:t>and</w:t>
      </w:r>
      <w:r w:rsidR="0029295E">
        <w:rPr>
          <w:spacing w:val="4"/>
        </w:rPr>
        <w:t xml:space="preserve"> </w:t>
      </w:r>
      <w:r w:rsidR="0029295E">
        <w:t>finance</w:t>
      </w:r>
      <w:r w:rsidR="0029295E">
        <w:rPr>
          <w:spacing w:val="7"/>
        </w:rPr>
        <w:t xml:space="preserve"> </w:t>
      </w:r>
      <w:r w:rsidR="0029295E">
        <w:rPr>
          <w:w w:val="101"/>
        </w:rPr>
        <w:t>costs</w:t>
      </w:r>
    </w:p>
    <w:p w14:paraId="486FE301" w14:textId="77777777" w:rsidR="0029295E" w:rsidRPr="00AA61F3" w:rsidRDefault="0029295E" w:rsidP="00F359CF">
      <w:pPr>
        <w:pStyle w:val="Note-Sub-normal"/>
      </w:pPr>
      <w:r w:rsidRPr="00AA61F3">
        <w:t xml:space="preserve">Finance income comprises interest income on funds invested which is recognized as it accrues in profit or loss, using </w:t>
      </w:r>
      <w:r>
        <w:t>th</w:t>
      </w:r>
      <w:r w:rsidRPr="00AA61F3">
        <w:t xml:space="preserve">e </w:t>
      </w:r>
      <w:r>
        <w:t>effectiv</w:t>
      </w:r>
      <w:r w:rsidRPr="00AA61F3">
        <w:t xml:space="preserve">e interest method.  </w:t>
      </w:r>
      <w:r>
        <w:t>Financ</w:t>
      </w:r>
      <w:r w:rsidR="00CC629C">
        <w:t>e costs comprise accretion</w:t>
      </w:r>
      <w:r w:rsidRPr="00AA61F3">
        <w:t xml:space="preserve"> expense </w:t>
      </w:r>
      <w:r>
        <w:t>o</w:t>
      </w:r>
      <w:r w:rsidRPr="00AA61F3">
        <w:t xml:space="preserve">n borrowings which </w:t>
      </w:r>
      <w:r>
        <w:t>ar</w:t>
      </w:r>
      <w:r w:rsidRPr="00AA61F3">
        <w:t xml:space="preserve">e </w:t>
      </w:r>
      <w:r>
        <w:t>recognize</w:t>
      </w:r>
      <w:r w:rsidRPr="00AA61F3">
        <w:t>d in profit or loss using the effective interest method.</w:t>
      </w:r>
      <w:r w:rsidR="00F359CF">
        <w:t xml:space="preserve"> </w:t>
      </w:r>
      <w:r w:rsidRPr="00AA61F3">
        <w:t xml:space="preserve">Foreign currency gains and losses are reported on a net </w:t>
      </w:r>
      <w:r w:rsidR="00AA61F3" w:rsidRPr="00AA61F3">
        <w:t>b</w:t>
      </w:r>
      <w:r w:rsidRPr="00AA61F3">
        <w:t>asis.</w:t>
      </w:r>
    </w:p>
    <w:p w14:paraId="07647ACD" w14:textId="77777777" w:rsidR="0029295E" w:rsidRPr="00F92FF8" w:rsidRDefault="00F97A09" w:rsidP="00F92FF8">
      <w:pPr>
        <w:pStyle w:val="Note-Sub-heading"/>
      </w:pPr>
      <w:r>
        <w:t>(k</w:t>
      </w:r>
      <w:r w:rsidR="00F92FF8" w:rsidRPr="00F92FF8">
        <w:t>)</w:t>
      </w:r>
      <w:r w:rsidR="00F92FF8" w:rsidRPr="00F92FF8">
        <w:tab/>
      </w:r>
      <w:r w:rsidR="0029295E" w:rsidRPr="00F92FF8">
        <w:t>Income tax</w:t>
      </w:r>
    </w:p>
    <w:p w14:paraId="34C7D15B" w14:textId="77777777" w:rsidR="0029295E" w:rsidRDefault="0029295E" w:rsidP="00E67445">
      <w:pPr>
        <w:pStyle w:val="Note-Sub-normal"/>
      </w:pPr>
      <w:r w:rsidRPr="00AA61F3">
        <w:t xml:space="preserve">Income </w:t>
      </w:r>
      <w:r>
        <w:t>ta</w:t>
      </w:r>
      <w:r w:rsidRPr="00AA61F3">
        <w:t xml:space="preserve">x expense comprises current </w:t>
      </w:r>
      <w:r>
        <w:t>an</w:t>
      </w:r>
      <w:r w:rsidRPr="00AA61F3">
        <w:t xml:space="preserve">d deferred tax. Current </w:t>
      </w:r>
      <w:r>
        <w:t>ta</w:t>
      </w:r>
      <w:r w:rsidRPr="00AA61F3">
        <w:t xml:space="preserve">x </w:t>
      </w:r>
      <w:r>
        <w:t>an</w:t>
      </w:r>
      <w:r w:rsidRPr="00AA61F3">
        <w:t xml:space="preserve">d deferred tax are recognized in profit or loss except to </w:t>
      </w:r>
      <w:r>
        <w:t>th</w:t>
      </w:r>
      <w:r w:rsidRPr="00AA61F3">
        <w:t xml:space="preserve">e extent that it </w:t>
      </w:r>
      <w:r>
        <w:t>relate</w:t>
      </w:r>
      <w:r w:rsidRPr="00AA61F3">
        <w:t xml:space="preserve">s to items </w:t>
      </w:r>
      <w:r>
        <w:t>recognize</w:t>
      </w:r>
      <w:r w:rsidRPr="00AA61F3">
        <w:t>d directly in equity or in other comprehensive income.</w:t>
      </w:r>
    </w:p>
    <w:p w14:paraId="70B76373" w14:textId="77777777" w:rsidR="0029295E" w:rsidRPr="00AA61F3" w:rsidRDefault="0029295E" w:rsidP="006809F4">
      <w:pPr>
        <w:pStyle w:val="Note-Sub-normal"/>
      </w:pPr>
      <w:r w:rsidRPr="00AA61F3">
        <w:t xml:space="preserve">Current </w:t>
      </w:r>
      <w:r>
        <w:t>ta</w:t>
      </w:r>
      <w:r w:rsidRPr="00AA61F3">
        <w:t xml:space="preserve">x is </w:t>
      </w:r>
      <w:r>
        <w:t>th</w:t>
      </w:r>
      <w:r w:rsidRPr="00AA61F3">
        <w:t xml:space="preserve">e expected </w:t>
      </w:r>
      <w:r>
        <w:t>ta</w:t>
      </w:r>
      <w:r w:rsidRPr="00AA61F3">
        <w:t xml:space="preserve">x </w:t>
      </w:r>
      <w:r>
        <w:t>payabl</w:t>
      </w:r>
      <w:r w:rsidRPr="00AA61F3">
        <w:t xml:space="preserve">e or </w:t>
      </w:r>
      <w:r>
        <w:t>receivabl</w:t>
      </w:r>
      <w:r w:rsidRPr="00AA61F3">
        <w:t xml:space="preserve">e </w:t>
      </w:r>
      <w:r>
        <w:t>o</w:t>
      </w:r>
      <w:r w:rsidRPr="00AA61F3">
        <w:t xml:space="preserve">n </w:t>
      </w:r>
      <w:r>
        <w:t>th</w:t>
      </w:r>
      <w:r w:rsidRPr="00AA61F3">
        <w:t xml:space="preserve">e </w:t>
      </w:r>
      <w:r>
        <w:t>taxabl</w:t>
      </w:r>
      <w:r w:rsidRPr="00AA61F3">
        <w:t xml:space="preserve">e income or loss for </w:t>
      </w:r>
      <w:r>
        <w:t>th</w:t>
      </w:r>
      <w:r w:rsidRPr="00AA61F3">
        <w:t xml:space="preserve">e year, using </w:t>
      </w:r>
      <w:r>
        <w:t>ta</w:t>
      </w:r>
      <w:r w:rsidRPr="00AA61F3">
        <w:t xml:space="preserve">x rates enacted or substantively enacted at </w:t>
      </w:r>
      <w:r>
        <w:t>th</w:t>
      </w:r>
      <w:r w:rsidRPr="00AA61F3">
        <w:t xml:space="preserve">e reporting date, </w:t>
      </w:r>
      <w:r>
        <w:t>an</w:t>
      </w:r>
      <w:r w:rsidRPr="00AA61F3">
        <w:t xml:space="preserve">d any adjustment to </w:t>
      </w:r>
      <w:r>
        <w:t>ta</w:t>
      </w:r>
      <w:r w:rsidRPr="00AA61F3">
        <w:t xml:space="preserve">x </w:t>
      </w:r>
      <w:r>
        <w:t>payabl</w:t>
      </w:r>
      <w:r w:rsidRPr="00AA61F3">
        <w:t xml:space="preserve">e in </w:t>
      </w:r>
      <w:r>
        <w:t>respec</w:t>
      </w:r>
      <w:r w:rsidRPr="00AA61F3">
        <w:t>t of previous years.</w:t>
      </w:r>
    </w:p>
    <w:p w14:paraId="466F3959" w14:textId="77777777" w:rsidR="0029295E" w:rsidRDefault="0029295E" w:rsidP="00E67445">
      <w:pPr>
        <w:pStyle w:val="Note-Sub-normal"/>
      </w:pPr>
      <w:r w:rsidRPr="00AA61F3">
        <w:t xml:space="preserve">Deferred </w:t>
      </w:r>
      <w:r>
        <w:t>ta</w:t>
      </w:r>
      <w:r w:rsidRPr="00AA61F3">
        <w:t xml:space="preserve">x is </w:t>
      </w:r>
      <w:r>
        <w:t>recognize</w:t>
      </w:r>
      <w:r w:rsidRPr="00AA61F3">
        <w:t xml:space="preserve">d in </w:t>
      </w:r>
      <w:r>
        <w:t>respec</w:t>
      </w:r>
      <w:r w:rsidRPr="00AA61F3">
        <w:t xml:space="preserve">t of temporary </w:t>
      </w:r>
      <w:r>
        <w:t>difference</w:t>
      </w:r>
      <w:r w:rsidRPr="00AA61F3">
        <w:t xml:space="preserve">s between </w:t>
      </w:r>
      <w:r>
        <w:t>th</w:t>
      </w:r>
      <w:r w:rsidRPr="00AA61F3">
        <w:t xml:space="preserve">e carrying amounts of </w:t>
      </w:r>
      <w:r>
        <w:t>asset</w:t>
      </w:r>
      <w:r w:rsidRPr="00AA61F3">
        <w:t xml:space="preserve">s </w:t>
      </w:r>
      <w:r>
        <w:t>an</w:t>
      </w:r>
      <w:r w:rsidRPr="00AA61F3">
        <w:t xml:space="preserve">d liabilities for financial reporting </w:t>
      </w:r>
      <w:r>
        <w:t>purpose</w:t>
      </w:r>
      <w:r w:rsidRPr="00AA61F3">
        <w:t xml:space="preserve">s </w:t>
      </w:r>
      <w:r>
        <w:t>an</w:t>
      </w:r>
      <w:r w:rsidRPr="00AA61F3">
        <w:t xml:space="preserve">d </w:t>
      </w:r>
      <w:r>
        <w:t>th</w:t>
      </w:r>
      <w:r w:rsidRPr="00AA61F3">
        <w:t xml:space="preserve">e amounts used for taxation purposes. Deferred </w:t>
      </w:r>
      <w:r>
        <w:t>ta</w:t>
      </w:r>
      <w:r w:rsidRPr="00AA61F3">
        <w:t xml:space="preserve">x is not </w:t>
      </w:r>
      <w:r>
        <w:t>recognize</w:t>
      </w:r>
      <w:r w:rsidRPr="00AA61F3">
        <w:t xml:space="preserve">d for the following temporary </w:t>
      </w:r>
      <w:r>
        <w:t>differences</w:t>
      </w:r>
      <w:r w:rsidRPr="00AA61F3">
        <w:t xml:space="preserve">: </w:t>
      </w:r>
      <w:r>
        <w:t>th</w:t>
      </w:r>
      <w:r w:rsidRPr="00AA61F3">
        <w:t xml:space="preserve">e initial recognition of </w:t>
      </w:r>
      <w:r>
        <w:t>asset</w:t>
      </w:r>
      <w:r w:rsidRPr="00AA61F3">
        <w:t xml:space="preserve">s or liabilities in a transaction that is not a business combination </w:t>
      </w:r>
      <w:r>
        <w:t>an</w:t>
      </w:r>
      <w:r w:rsidRPr="00AA61F3">
        <w:t xml:space="preserve">d that affects </w:t>
      </w:r>
      <w:r>
        <w:t>neithe</w:t>
      </w:r>
      <w:r w:rsidRPr="00AA61F3">
        <w:t xml:space="preserve">r accounting nor </w:t>
      </w:r>
      <w:r>
        <w:t>taxabl</w:t>
      </w:r>
      <w:r w:rsidR="000B0309">
        <w:t xml:space="preserve">e profit or loss. </w:t>
      </w:r>
      <w:r w:rsidRPr="00AA61F3">
        <w:t xml:space="preserve"> Deferred tax is measured at the tax rates that are expected to be applied to temporary differences when they </w:t>
      </w:r>
      <w:r>
        <w:t>reverse</w:t>
      </w:r>
      <w:r w:rsidRPr="00AA61F3">
        <w:t xml:space="preserve">, </w:t>
      </w:r>
      <w:r>
        <w:t>base</w:t>
      </w:r>
      <w:r w:rsidRPr="00AA61F3">
        <w:t xml:space="preserve">d </w:t>
      </w:r>
      <w:r>
        <w:t>o</w:t>
      </w:r>
      <w:r w:rsidRPr="00AA61F3">
        <w:t xml:space="preserve">n </w:t>
      </w:r>
      <w:r>
        <w:t>th</w:t>
      </w:r>
      <w:r w:rsidRPr="00AA61F3">
        <w:t xml:space="preserve">e laws that have been enacted or substantively enacted by </w:t>
      </w:r>
      <w:r>
        <w:t>th</w:t>
      </w:r>
      <w:r w:rsidRPr="00AA61F3">
        <w:t xml:space="preserve">e reporting date. Deferred tax assets and liabilities are offset if there is a legally enforceable right to offset current tax liabilities and assets, and they relate to income taxes levied by the same tax authority on the same taxable entity, or on different tax entities, but they intend to </w:t>
      </w:r>
      <w:r>
        <w:t>settl</w:t>
      </w:r>
      <w:r w:rsidRPr="00AA61F3">
        <w:t xml:space="preserve">e current </w:t>
      </w:r>
      <w:r>
        <w:t>ta</w:t>
      </w:r>
      <w:r w:rsidRPr="00AA61F3">
        <w:t xml:space="preserve">x liabilities </w:t>
      </w:r>
      <w:r>
        <w:t>an</w:t>
      </w:r>
      <w:r w:rsidRPr="00AA61F3">
        <w:t xml:space="preserve">d </w:t>
      </w:r>
      <w:r>
        <w:t>asset</w:t>
      </w:r>
      <w:r w:rsidRPr="00AA61F3">
        <w:t xml:space="preserve">s </w:t>
      </w:r>
      <w:r>
        <w:t>o</w:t>
      </w:r>
      <w:r w:rsidRPr="00AA61F3">
        <w:t xml:space="preserve">n a </w:t>
      </w:r>
      <w:r>
        <w:t>ne</w:t>
      </w:r>
      <w:r w:rsidRPr="00AA61F3">
        <w:t xml:space="preserve">t basis or their </w:t>
      </w:r>
      <w:r>
        <w:t>ta</w:t>
      </w:r>
      <w:r w:rsidRPr="00AA61F3">
        <w:t xml:space="preserve">x </w:t>
      </w:r>
      <w:r>
        <w:t>asset</w:t>
      </w:r>
      <w:r w:rsidRPr="00AA61F3">
        <w:t xml:space="preserve">s </w:t>
      </w:r>
      <w:r>
        <w:t>an</w:t>
      </w:r>
      <w:r w:rsidRPr="00AA61F3">
        <w:t>d liabilities will be realized simultaneously.</w:t>
      </w:r>
    </w:p>
    <w:p w14:paraId="33F7EDDD" w14:textId="77777777" w:rsidR="0029295E" w:rsidRPr="00AA61F3" w:rsidRDefault="0029295E" w:rsidP="00E67445">
      <w:pPr>
        <w:pStyle w:val="Note-Sub-normal"/>
      </w:pPr>
      <w:r w:rsidRPr="00AA61F3">
        <w:t xml:space="preserve">A deferred </w:t>
      </w:r>
      <w:r>
        <w:t>ta</w:t>
      </w:r>
      <w:r w:rsidRPr="00AA61F3">
        <w:t xml:space="preserve">x </w:t>
      </w:r>
      <w:r>
        <w:t>asse</w:t>
      </w:r>
      <w:r w:rsidRPr="00AA61F3">
        <w:t xml:space="preserve">t is </w:t>
      </w:r>
      <w:r>
        <w:t>recognize</w:t>
      </w:r>
      <w:r w:rsidRPr="00AA61F3">
        <w:t xml:space="preserve">d for </w:t>
      </w:r>
      <w:r>
        <w:t>unuse</w:t>
      </w:r>
      <w:r w:rsidRPr="00AA61F3">
        <w:t xml:space="preserve">d </w:t>
      </w:r>
      <w:r>
        <w:t>ta</w:t>
      </w:r>
      <w:r w:rsidRPr="00AA61F3">
        <w:t xml:space="preserve">x losses, </w:t>
      </w:r>
      <w:r>
        <w:t>ta</w:t>
      </w:r>
      <w:r w:rsidRPr="00AA61F3">
        <w:t xml:space="preserve">x credits </w:t>
      </w:r>
      <w:r>
        <w:t>an</w:t>
      </w:r>
      <w:r w:rsidRPr="00AA61F3">
        <w:t xml:space="preserve">d </w:t>
      </w:r>
      <w:r>
        <w:t>deductibl</w:t>
      </w:r>
      <w:r w:rsidRPr="00AA61F3">
        <w:t xml:space="preserve">e temporary </w:t>
      </w:r>
      <w:r>
        <w:t>differences</w:t>
      </w:r>
      <w:r w:rsidRPr="00AA61F3">
        <w:t xml:space="preserve">, to the extent that it is </w:t>
      </w:r>
      <w:r>
        <w:t>probabl</w:t>
      </w:r>
      <w:r w:rsidRPr="00AA61F3">
        <w:t xml:space="preserve">e that future </w:t>
      </w:r>
      <w:r>
        <w:t>taxabl</w:t>
      </w:r>
      <w:r w:rsidRPr="00AA61F3">
        <w:t xml:space="preserve">e profits will be available against which </w:t>
      </w:r>
      <w:r>
        <w:t>the</w:t>
      </w:r>
      <w:r w:rsidRPr="00AA61F3">
        <w:t xml:space="preserve">y can be utilised. Deferred tax </w:t>
      </w:r>
      <w:r>
        <w:t>asset</w:t>
      </w:r>
      <w:r w:rsidRPr="00AA61F3">
        <w:t xml:space="preserve">s </w:t>
      </w:r>
      <w:r>
        <w:t>ar</w:t>
      </w:r>
      <w:r w:rsidRPr="00AA61F3">
        <w:t>e reviewed at each reporting date and are reduced to the extent that it is no longer probable that the related tax benefit will be realized.</w:t>
      </w:r>
    </w:p>
    <w:p w14:paraId="496D0BA7" w14:textId="77777777" w:rsidR="006C1FD9" w:rsidRPr="00AA61F3" w:rsidRDefault="006C1FD9" w:rsidP="00E67445">
      <w:pPr>
        <w:pStyle w:val="Note-Sub-normal"/>
      </w:pPr>
      <w:r w:rsidRPr="00AA61F3">
        <w:t>Scientific research and development tax credits, which are earned as a result of incurring qualifying research and development expenditures, are recorded as a reduction of the related expense or cost of the asset acquired when there is reasonable assurance that they will be realized.</w:t>
      </w:r>
    </w:p>
    <w:p w14:paraId="7764F3BC" w14:textId="77777777" w:rsidR="0029295E" w:rsidRDefault="00F92FF8" w:rsidP="00F92FF8">
      <w:pPr>
        <w:pStyle w:val="Note-Sub-heading"/>
      </w:pPr>
      <w:r>
        <w:rPr>
          <w:spacing w:val="2"/>
        </w:rPr>
        <w:t>(</w:t>
      </w:r>
      <w:r w:rsidR="00F97A09">
        <w:rPr>
          <w:spacing w:val="2"/>
        </w:rPr>
        <w:t>l</w:t>
      </w:r>
      <w:r w:rsidR="0029295E">
        <w:t>)</w:t>
      </w:r>
      <w:r>
        <w:rPr>
          <w:spacing w:val="-48"/>
        </w:rPr>
        <w:tab/>
      </w:r>
      <w:r w:rsidR="0029295E">
        <w:t>Earnings</w:t>
      </w:r>
      <w:r w:rsidR="0029295E">
        <w:rPr>
          <w:spacing w:val="9"/>
        </w:rPr>
        <w:t xml:space="preserve"> </w:t>
      </w:r>
      <w:r w:rsidR="0029295E">
        <w:t>(loss)</w:t>
      </w:r>
      <w:r w:rsidR="0029295E">
        <w:rPr>
          <w:spacing w:val="6"/>
        </w:rPr>
        <w:t xml:space="preserve"> </w:t>
      </w:r>
      <w:r w:rsidR="0029295E">
        <w:t>per</w:t>
      </w:r>
      <w:r w:rsidR="0029295E">
        <w:rPr>
          <w:spacing w:val="4"/>
        </w:rPr>
        <w:t xml:space="preserve"> </w:t>
      </w:r>
      <w:r w:rsidR="0029295E">
        <w:rPr>
          <w:w w:val="101"/>
        </w:rPr>
        <w:t>share</w:t>
      </w:r>
    </w:p>
    <w:p w14:paraId="76E76CFA" w14:textId="77777777" w:rsidR="0029295E" w:rsidRDefault="0029295E" w:rsidP="00E67445">
      <w:pPr>
        <w:pStyle w:val="Note-Sub-normal"/>
      </w:pPr>
      <w:r w:rsidRPr="00AA61F3">
        <w:t xml:space="preserve">The Company </w:t>
      </w:r>
      <w:r>
        <w:t>present</w:t>
      </w:r>
      <w:r w:rsidRPr="00AA61F3">
        <w:t xml:space="preserve">s basic earnings </w:t>
      </w:r>
      <w:r>
        <w:t>pe</w:t>
      </w:r>
      <w:r w:rsidRPr="00AA61F3">
        <w:t xml:space="preserve">r </w:t>
      </w:r>
      <w:r>
        <w:t>shar</w:t>
      </w:r>
      <w:r w:rsidRPr="00AA61F3">
        <w:t xml:space="preserve">e (EPS) data for its common voting shares.  Basic EPS is calculated by dividing </w:t>
      </w:r>
      <w:r>
        <w:t>th</w:t>
      </w:r>
      <w:r w:rsidRPr="00AA61F3">
        <w:t xml:space="preserve">e profit or loss attributable to common voting </w:t>
      </w:r>
      <w:r>
        <w:t>shareholder</w:t>
      </w:r>
      <w:r w:rsidRPr="00AA61F3">
        <w:t xml:space="preserve">s of </w:t>
      </w:r>
      <w:r>
        <w:t>th</w:t>
      </w:r>
      <w:r w:rsidRPr="00AA61F3">
        <w:t xml:space="preserve">e Company by </w:t>
      </w:r>
      <w:r>
        <w:t>th</w:t>
      </w:r>
      <w:r w:rsidRPr="00AA61F3">
        <w:t xml:space="preserve">e </w:t>
      </w:r>
      <w:r>
        <w:t>weighte</w:t>
      </w:r>
      <w:r w:rsidRPr="00AA61F3">
        <w:t xml:space="preserve">d average number of common voting </w:t>
      </w:r>
      <w:r>
        <w:t>share</w:t>
      </w:r>
      <w:r w:rsidRPr="00AA61F3">
        <w:t xml:space="preserve">s outstanding during </w:t>
      </w:r>
      <w:r>
        <w:t>th</w:t>
      </w:r>
      <w:r w:rsidRPr="00AA61F3">
        <w:t xml:space="preserve">e period, adjusted for </w:t>
      </w:r>
      <w:r>
        <w:t>ow</w:t>
      </w:r>
      <w:r w:rsidRPr="00AA61F3">
        <w:t xml:space="preserve">n </w:t>
      </w:r>
      <w:r>
        <w:t>share</w:t>
      </w:r>
      <w:r w:rsidRPr="00AA61F3">
        <w:t>s held</w:t>
      </w:r>
      <w:r w:rsidR="001F61FC">
        <w:t xml:space="preserve">.  </w:t>
      </w:r>
      <w:r w:rsidRPr="00AA61F3">
        <w:t>Common voting share equivalents have been excluded from the calculation of diluted loss per share as their effect is anti-dilutive.</w:t>
      </w:r>
    </w:p>
    <w:p w14:paraId="274CB26D" w14:textId="3F6CD987" w:rsidR="00EB61CA" w:rsidRPr="00691331" w:rsidRDefault="00C417E7" w:rsidP="00C417E7">
      <w:pPr>
        <w:pStyle w:val="Note-Sub-heading"/>
        <w:ind w:left="0"/>
      </w:pPr>
      <w:r>
        <w:rPr>
          <w:b w:val="0"/>
          <w:bCs w:val="0"/>
        </w:rPr>
        <w:t xml:space="preserve"> </w:t>
      </w:r>
      <w:r w:rsidRPr="00691331">
        <w:t xml:space="preserve"> </w:t>
      </w:r>
      <w:r w:rsidR="007742A5">
        <w:t xml:space="preserve"> </w:t>
      </w:r>
      <w:r w:rsidR="00EB61CA" w:rsidRPr="00691331">
        <w:t>(m)</w:t>
      </w:r>
      <w:r w:rsidR="00EB61CA" w:rsidRPr="00691331">
        <w:tab/>
        <w:t>New standards and interpretations not yet adopted</w:t>
      </w:r>
    </w:p>
    <w:p w14:paraId="4465BFF6" w14:textId="77777777" w:rsidR="00EB61CA" w:rsidRPr="00691331" w:rsidRDefault="00EB61CA" w:rsidP="00EB61CA">
      <w:pPr>
        <w:pStyle w:val="Note-Sub-normal"/>
        <w:rPr>
          <w:spacing w:val="-2"/>
        </w:rPr>
      </w:pPr>
      <w:r w:rsidRPr="00691331">
        <w:rPr>
          <w:spacing w:val="-2"/>
        </w:rPr>
        <w:t>Certain new standards, interpretations and amendments to existing standards issued by the IASB or the International Financial Reporting Interpretations Committee (IFRIC) that are not yet effective up to the date of issuance of the Company’s financial statements are listed below.  The Company is assessing the impact of these pronouncements on its results and financial position. The Company intends to adopt those standards when they become effective.</w:t>
      </w:r>
    </w:p>
    <w:p w14:paraId="305F52FD" w14:textId="05D828D3" w:rsidR="00C417E7" w:rsidRPr="00554A59" w:rsidRDefault="00C417E7" w:rsidP="00554A59">
      <w:pPr>
        <w:rPr>
          <w:b/>
          <w:bCs/>
          <w:lang w:val="en-US"/>
        </w:rPr>
      </w:pPr>
    </w:p>
    <w:p w14:paraId="53FF75D9" w14:textId="77777777" w:rsidR="00C417E7" w:rsidRDefault="00C417E7" w:rsidP="00C417E7">
      <w:pPr>
        <w:pStyle w:val="Note-Heading"/>
        <w:spacing w:before="0"/>
      </w:pPr>
    </w:p>
    <w:p w14:paraId="0A58D9AE" w14:textId="77777777" w:rsidR="00C417E7" w:rsidRPr="00C5390C" w:rsidRDefault="00C417E7" w:rsidP="00C5390C">
      <w:pPr>
        <w:pStyle w:val="Note-Heading"/>
        <w:spacing w:before="0"/>
      </w:pPr>
      <w:r w:rsidRPr="0040763B">
        <w:t>3</w:t>
      </w:r>
      <w:r>
        <w:t>.</w:t>
      </w:r>
      <w:r>
        <w:tab/>
      </w:r>
      <w:r w:rsidRPr="006609F2">
        <w:t>Significant</w:t>
      </w:r>
      <w:r w:rsidRPr="0040763B">
        <w:t xml:space="preserve"> </w:t>
      </w:r>
      <w:r w:rsidRPr="006609F2">
        <w:t>accounting</w:t>
      </w:r>
      <w:r w:rsidRPr="0040763B">
        <w:t xml:space="preserve"> policies</w:t>
      </w:r>
      <w:r>
        <w:t xml:space="preserve"> (continued)</w:t>
      </w:r>
      <w:r w:rsidRPr="0040763B">
        <w:t>:</w:t>
      </w:r>
    </w:p>
    <w:p w14:paraId="0DA3A581" w14:textId="77777777" w:rsidR="00C417E7" w:rsidRDefault="00C417E7" w:rsidP="00C5390C">
      <w:pPr>
        <w:pStyle w:val="ListParagraph"/>
        <w:spacing w:before="144"/>
        <w:jc w:val="both"/>
        <w:rPr>
          <w:b/>
          <w:bCs/>
          <w:lang w:val="en-US"/>
        </w:rPr>
      </w:pPr>
    </w:p>
    <w:p w14:paraId="5A110FAB" w14:textId="77777777" w:rsidR="00EB61CA" w:rsidRPr="003E3FAA" w:rsidRDefault="00EB61CA" w:rsidP="00C5390C">
      <w:pPr>
        <w:pStyle w:val="ListParagraph"/>
        <w:spacing w:before="144"/>
        <w:jc w:val="both"/>
        <w:rPr>
          <w:b/>
          <w:bCs/>
          <w:lang w:val="en-US"/>
        </w:rPr>
      </w:pPr>
      <w:r w:rsidRPr="003E3FAA">
        <w:rPr>
          <w:b/>
          <w:bCs/>
          <w:lang w:val="en-US"/>
        </w:rPr>
        <w:t>IFRS 9 Financial Instruments</w:t>
      </w:r>
    </w:p>
    <w:p w14:paraId="5B92E9BD" w14:textId="77777777" w:rsidR="00EB61CA" w:rsidRPr="003E3FAA" w:rsidRDefault="00EB61CA" w:rsidP="00C5390C">
      <w:pPr>
        <w:pStyle w:val="ListParagraph"/>
        <w:spacing w:before="144"/>
        <w:jc w:val="both"/>
        <w:rPr>
          <w:b/>
          <w:bCs/>
          <w:color w:val="auto"/>
          <w:sz w:val="22"/>
          <w:szCs w:val="22"/>
          <w:lang w:val="en-US"/>
        </w:rPr>
      </w:pPr>
    </w:p>
    <w:p w14:paraId="2E1DD09A" w14:textId="77777777" w:rsidR="00EB61CA" w:rsidRPr="003E3FAA" w:rsidRDefault="00EB61CA" w:rsidP="00C5390C">
      <w:pPr>
        <w:pStyle w:val="ListParagraph"/>
        <w:spacing w:before="144"/>
        <w:jc w:val="both"/>
        <w:rPr>
          <w:lang w:val="en-US"/>
        </w:rPr>
      </w:pPr>
      <w:r w:rsidRPr="003E3FAA">
        <w:rPr>
          <w:lang w:val="en-US"/>
        </w:rPr>
        <w:t>IFRS 9-Financial instruments replaces IAS 39-Financial instruments and includes requirements for recognition and measurement, impairment and derecognition of financial instruments and general hedge accounting. The standard is effective for annual periods beginning on or after January 1, 2018.</w:t>
      </w:r>
    </w:p>
    <w:p w14:paraId="48D86EB9" w14:textId="77777777" w:rsidR="00EB61CA" w:rsidRPr="003E3FAA" w:rsidRDefault="00EB61CA" w:rsidP="00C5390C">
      <w:pPr>
        <w:pStyle w:val="ListParagraph"/>
        <w:spacing w:before="144"/>
        <w:jc w:val="both"/>
        <w:rPr>
          <w:color w:val="auto"/>
          <w:sz w:val="22"/>
          <w:szCs w:val="22"/>
          <w:lang w:val="en-US"/>
        </w:rPr>
      </w:pPr>
    </w:p>
    <w:p w14:paraId="321C93B0" w14:textId="77777777" w:rsidR="00EB61CA" w:rsidRPr="003E3FAA" w:rsidRDefault="00EB61CA" w:rsidP="00C5390C">
      <w:pPr>
        <w:widowControl/>
        <w:autoSpaceDE/>
        <w:autoSpaceDN/>
        <w:adjustRightInd/>
        <w:spacing w:before="144"/>
        <w:ind w:left="720"/>
        <w:jc w:val="both"/>
        <w:rPr>
          <w:b/>
        </w:rPr>
      </w:pPr>
      <w:r w:rsidRPr="003E3FAA">
        <w:rPr>
          <w:b/>
        </w:rPr>
        <w:t xml:space="preserve">IFRS 15 Revenue from Contracts with Customers </w:t>
      </w:r>
    </w:p>
    <w:p w14:paraId="0D5A90AC" w14:textId="77777777" w:rsidR="00EB61CA" w:rsidRPr="003E3FAA" w:rsidRDefault="00EB61CA" w:rsidP="00C5390C">
      <w:pPr>
        <w:widowControl/>
        <w:autoSpaceDE/>
        <w:autoSpaceDN/>
        <w:adjustRightInd/>
        <w:spacing w:before="144"/>
        <w:ind w:left="720"/>
        <w:jc w:val="both"/>
        <w:rPr>
          <w:spacing w:val="-2"/>
        </w:rPr>
      </w:pPr>
      <w:r w:rsidRPr="003E3FAA">
        <w:rPr>
          <w:spacing w:val="-2"/>
        </w:rPr>
        <w:t>IFRS 15-Revenue from contracts with Customers replaces IAS 11-Construction Contracts and IAS 18-Revenue, as well as various IFRIC and SIC interpretations; specifies the steps and timing for entities to recognize revenue from contracts, excluding lease contracts; enhances disclosure requirements; and is effective for annual periods beginning on or after January 1, 2018, with earlier adoption permitted.</w:t>
      </w:r>
    </w:p>
    <w:p w14:paraId="666CBFC5" w14:textId="77777777" w:rsidR="002E6B04" w:rsidRPr="003E3FAA" w:rsidRDefault="002E6B04" w:rsidP="00C5390C">
      <w:pPr>
        <w:widowControl/>
        <w:autoSpaceDE/>
        <w:autoSpaceDN/>
        <w:adjustRightInd/>
        <w:spacing w:before="144"/>
        <w:ind w:left="720"/>
        <w:jc w:val="both"/>
        <w:rPr>
          <w:spacing w:val="-2"/>
        </w:rPr>
      </w:pPr>
    </w:p>
    <w:p w14:paraId="7505C5A0" w14:textId="77777777" w:rsidR="00EB61CA" w:rsidRPr="003E3FAA" w:rsidRDefault="00EB61CA" w:rsidP="00C5390C">
      <w:pPr>
        <w:widowControl/>
        <w:autoSpaceDE/>
        <w:autoSpaceDN/>
        <w:adjustRightInd/>
        <w:spacing w:before="144"/>
        <w:ind w:left="720"/>
        <w:jc w:val="both"/>
      </w:pPr>
      <w:r w:rsidRPr="003E3FAA">
        <w:rPr>
          <w:b/>
        </w:rPr>
        <w:t>IFRS 16 Leases</w:t>
      </w:r>
      <w:r w:rsidRPr="003E3FAA">
        <w:t xml:space="preserve">  </w:t>
      </w:r>
    </w:p>
    <w:p w14:paraId="797B7BE4" w14:textId="77777777" w:rsidR="00EB61CA" w:rsidRPr="003E3FAA" w:rsidRDefault="00EB61CA" w:rsidP="00C5390C">
      <w:pPr>
        <w:widowControl/>
        <w:autoSpaceDE/>
        <w:autoSpaceDN/>
        <w:adjustRightInd/>
        <w:spacing w:before="144"/>
        <w:ind w:left="720"/>
        <w:jc w:val="both"/>
        <w:rPr>
          <w:spacing w:val="-2"/>
        </w:rPr>
      </w:pPr>
      <w:r w:rsidRPr="003E3FAA">
        <w:rPr>
          <w:spacing w:val="-2"/>
        </w:rPr>
        <w:t xml:space="preserve">IFRS 16-Leases replaces IAS 17-Leases and requires lessees to account for leases on balance sheet by recognizing a right of use asset and a lease liability. Lessor accounting, however, remains largely unchanged and the distinction between operation and financing leases is retained. The standard is effective for annual periods beginning on or after January 1, 2019, with earlier adoption permitted. </w:t>
      </w:r>
    </w:p>
    <w:p w14:paraId="48B7A04C" w14:textId="77777777" w:rsidR="002D0D05" w:rsidRDefault="00C242F9" w:rsidP="0060171F">
      <w:pPr>
        <w:pStyle w:val="Note-Heading"/>
      </w:pPr>
      <w:r>
        <w:t>4</w:t>
      </w:r>
      <w:r w:rsidR="002D0D05">
        <w:t xml:space="preserve">. </w:t>
      </w:r>
      <w:r w:rsidR="003C1F6D">
        <w:t>Trade and other receivables:</w:t>
      </w:r>
    </w:p>
    <w:p w14:paraId="478D543B" w14:textId="714ACB34" w:rsidR="007538E9" w:rsidRDefault="00BA7397" w:rsidP="00C242F9">
      <w:pPr>
        <w:pStyle w:val="Note-Heading"/>
        <w:ind w:left="288"/>
      </w:pPr>
      <w:r w:rsidRPr="00BA7397">
        <w:rPr>
          <w:noProof/>
        </w:rPr>
        <w:drawing>
          <wp:inline distT="0" distB="0" distL="0" distR="0" wp14:anchorId="247335BD" wp14:editId="0DD2F698">
            <wp:extent cx="5702300" cy="920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2300" cy="920750"/>
                    </a:xfrm>
                    <a:prstGeom prst="rect">
                      <a:avLst/>
                    </a:prstGeom>
                    <a:noFill/>
                    <a:ln>
                      <a:noFill/>
                    </a:ln>
                  </pic:spPr>
                </pic:pic>
              </a:graphicData>
            </a:graphic>
          </wp:inline>
        </w:drawing>
      </w:r>
    </w:p>
    <w:p w14:paraId="13E5465C" w14:textId="77777777" w:rsidR="00953C9E" w:rsidRDefault="00C242F9" w:rsidP="003C1F6D">
      <w:pPr>
        <w:pStyle w:val="Note-Heading"/>
      </w:pPr>
      <w:r>
        <w:t>5</w:t>
      </w:r>
      <w:r w:rsidR="003C1F6D" w:rsidRPr="0060171F">
        <w:t>.</w:t>
      </w:r>
      <w:r w:rsidR="003C1F6D" w:rsidRPr="0060171F">
        <w:tab/>
      </w:r>
      <w:r w:rsidR="003C1F6D">
        <w:t>Inventory</w:t>
      </w:r>
      <w:r w:rsidR="003C1F6D" w:rsidRPr="0060171F">
        <w:t>:</w:t>
      </w:r>
      <w:r w:rsidR="00953C9E" w:rsidRPr="00953C9E">
        <w:t xml:space="preserve"> </w:t>
      </w:r>
    </w:p>
    <w:p w14:paraId="5DC8F29D" w14:textId="54F953B8" w:rsidR="0029295E" w:rsidRPr="0060171F" w:rsidRDefault="00963E90" w:rsidP="0060171F">
      <w:pPr>
        <w:pStyle w:val="Note-Heading"/>
      </w:pPr>
      <w:r>
        <w:tab/>
      </w:r>
      <w:r w:rsidR="00BA7397" w:rsidRPr="00BA7397">
        <w:rPr>
          <w:noProof/>
        </w:rPr>
        <w:drawing>
          <wp:inline distT="0" distB="0" distL="0" distR="0" wp14:anchorId="76E737C6" wp14:editId="207F76B2">
            <wp:extent cx="5702300" cy="1104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2300" cy="1104900"/>
                    </a:xfrm>
                    <a:prstGeom prst="rect">
                      <a:avLst/>
                    </a:prstGeom>
                    <a:noFill/>
                    <a:ln>
                      <a:noFill/>
                    </a:ln>
                  </pic:spPr>
                </pic:pic>
              </a:graphicData>
            </a:graphic>
          </wp:inline>
        </w:drawing>
      </w:r>
    </w:p>
    <w:p w14:paraId="137FDA9A" w14:textId="6E2D84B6" w:rsidR="007742A5" w:rsidRDefault="007742A5" w:rsidP="00953C9E">
      <w:pPr>
        <w:widowControl/>
        <w:autoSpaceDE/>
        <w:autoSpaceDN/>
        <w:adjustRightInd/>
        <w:spacing w:after="200" w:line="276" w:lineRule="auto"/>
        <w:rPr>
          <w:b/>
        </w:rPr>
      </w:pPr>
    </w:p>
    <w:p w14:paraId="12555118" w14:textId="22618D8B" w:rsidR="00072E7A" w:rsidRPr="00536AD4" w:rsidRDefault="00C242F9" w:rsidP="00953C9E">
      <w:pPr>
        <w:widowControl/>
        <w:autoSpaceDE/>
        <w:autoSpaceDN/>
        <w:adjustRightInd/>
        <w:spacing w:after="200" w:line="276" w:lineRule="auto"/>
        <w:rPr>
          <w:b/>
        </w:rPr>
      </w:pPr>
      <w:r>
        <w:rPr>
          <w:b/>
        </w:rPr>
        <w:t>6</w:t>
      </w:r>
      <w:r w:rsidR="001A2907" w:rsidRPr="00536AD4">
        <w:rPr>
          <w:b/>
        </w:rPr>
        <w:t>.</w:t>
      </w:r>
      <w:r>
        <w:rPr>
          <w:b/>
        </w:rPr>
        <w:t xml:space="preserve">  </w:t>
      </w:r>
      <w:r w:rsidR="001A2907" w:rsidRPr="00536AD4">
        <w:rPr>
          <w:b/>
        </w:rPr>
        <w:t>Intangible assets:</w:t>
      </w:r>
    </w:p>
    <w:p w14:paraId="6E14CB40" w14:textId="4088C9BC" w:rsidR="007F2330" w:rsidRDefault="00ED3F49" w:rsidP="004E2502">
      <w:pPr>
        <w:pStyle w:val="Note-Normal"/>
      </w:pPr>
      <w:r>
        <w:t>The following is a summary of</w:t>
      </w:r>
      <w:r w:rsidR="001A2907">
        <w:t xml:space="preserve"> intangibl</w:t>
      </w:r>
      <w:r w:rsidR="001468EB">
        <w:t>e assets as at June 30</w:t>
      </w:r>
      <w:r w:rsidR="005E5C0D">
        <w:t>, 201</w:t>
      </w:r>
      <w:r w:rsidR="00EB61CA">
        <w:t>7</w:t>
      </w:r>
      <w:r w:rsidR="001A2907">
        <w:t>:</w:t>
      </w:r>
    </w:p>
    <w:p w14:paraId="5AAFF8A1" w14:textId="36D31930" w:rsidR="00554A59" w:rsidRDefault="00554A59" w:rsidP="004E2502">
      <w:pPr>
        <w:pStyle w:val="Note-Normal"/>
      </w:pPr>
    </w:p>
    <w:p w14:paraId="5B7A2512" w14:textId="1DA55E15" w:rsidR="00554A59" w:rsidRDefault="00554A59" w:rsidP="004E2502">
      <w:pPr>
        <w:pStyle w:val="Note-Normal"/>
      </w:pPr>
    </w:p>
    <w:p w14:paraId="6C171D26" w14:textId="77777777" w:rsidR="00554A59" w:rsidRDefault="00554A59" w:rsidP="004E2502">
      <w:pPr>
        <w:pStyle w:val="Note-Normal"/>
      </w:pPr>
    </w:p>
    <w:p w14:paraId="2EC645AB" w14:textId="0A765309" w:rsidR="00536AD4" w:rsidRDefault="001A3561" w:rsidP="004E2502">
      <w:pPr>
        <w:pStyle w:val="Note-Normal"/>
      </w:pPr>
      <w:r w:rsidRPr="001A3561">
        <w:rPr>
          <w:noProof/>
        </w:rPr>
        <w:drawing>
          <wp:inline distT="0" distB="0" distL="0" distR="0" wp14:anchorId="7758C427" wp14:editId="39263970">
            <wp:extent cx="6172200" cy="7099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0" cy="7099300"/>
                    </a:xfrm>
                    <a:prstGeom prst="rect">
                      <a:avLst/>
                    </a:prstGeom>
                    <a:noFill/>
                    <a:ln>
                      <a:noFill/>
                    </a:ln>
                  </pic:spPr>
                </pic:pic>
              </a:graphicData>
            </a:graphic>
          </wp:inline>
        </w:drawing>
      </w:r>
    </w:p>
    <w:p w14:paraId="076B8EDC" w14:textId="5939EC70" w:rsidR="004E2502" w:rsidRDefault="004E2502" w:rsidP="004E2502">
      <w:pPr>
        <w:widowControl/>
        <w:autoSpaceDE/>
        <w:autoSpaceDN/>
        <w:adjustRightInd/>
        <w:spacing w:after="200" w:line="276" w:lineRule="auto"/>
        <w:rPr>
          <w:b/>
        </w:rPr>
      </w:pPr>
    </w:p>
    <w:p w14:paraId="1E3057A3" w14:textId="1810679A" w:rsidR="00BA7397" w:rsidRDefault="00BA7397" w:rsidP="004E2502">
      <w:pPr>
        <w:widowControl/>
        <w:autoSpaceDE/>
        <w:autoSpaceDN/>
        <w:adjustRightInd/>
        <w:spacing w:after="200" w:line="276" w:lineRule="auto"/>
        <w:rPr>
          <w:b/>
        </w:rPr>
      </w:pPr>
    </w:p>
    <w:p w14:paraId="48633498" w14:textId="77777777" w:rsidR="00554A59" w:rsidRDefault="00554A59" w:rsidP="004E2502">
      <w:pPr>
        <w:widowControl/>
        <w:autoSpaceDE/>
        <w:autoSpaceDN/>
        <w:adjustRightInd/>
        <w:spacing w:after="200" w:line="276" w:lineRule="auto"/>
        <w:rPr>
          <w:b/>
        </w:rPr>
      </w:pPr>
    </w:p>
    <w:p w14:paraId="70B3C856" w14:textId="77777777" w:rsidR="004E2502" w:rsidRPr="00536AD4" w:rsidRDefault="004E2502" w:rsidP="004E2502">
      <w:pPr>
        <w:widowControl/>
        <w:autoSpaceDE/>
        <w:autoSpaceDN/>
        <w:adjustRightInd/>
        <w:spacing w:after="200" w:line="276" w:lineRule="auto"/>
        <w:rPr>
          <w:b/>
        </w:rPr>
      </w:pPr>
      <w:r>
        <w:rPr>
          <w:b/>
        </w:rPr>
        <w:t>6</w:t>
      </w:r>
      <w:r w:rsidRPr="00536AD4">
        <w:rPr>
          <w:b/>
        </w:rPr>
        <w:t>.</w:t>
      </w:r>
      <w:r>
        <w:rPr>
          <w:b/>
        </w:rPr>
        <w:t xml:space="preserve">  </w:t>
      </w:r>
      <w:r w:rsidRPr="00536AD4">
        <w:rPr>
          <w:b/>
        </w:rPr>
        <w:t>Intangible assets</w:t>
      </w:r>
      <w:r>
        <w:rPr>
          <w:b/>
        </w:rPr>
        <w:t xml:space="preserve"> (continued)</w:t>
      </w:r>
      <w:r w:rsidRPr="00536AD4">
        <w:rPr>
          <w:b/>
        </w:rPr>
        <w:t>:</w:t>
      </w:r>
    </w:p>
    <w:p w14:paraId="36757AB9" w14:textId="4C1F215A" w:rsidR="00072E7A" w:rsidRDefault="001A2907" w:rsidP="00950A0A">
      <w:pPr>
        <w:pStyle w:val="Note-Normal"/>
      </w:pPr>
      <w:r>
        <w:t>The Company has considered indica</w:t>
      </w:r>
      <w:r w:rsidR="005E5C0D">
        <w:t>tors of impairment as of</w:t>
      </w:r>
      <w:r w:rsidR="00C242F9">
        <w:t xml:space="preserve"> </w:t>
      </w:r>
      <w:r w:rsidR="001468EB">
        <w:t>June 30</w:t>
      </w:r>
      <w:r w:rsidR="004C11A8">
        <w:t>, 201</w:t>
      </w:r>
      <w:r w:rsidR="001468EB">
        <w:t>7. To June 30</w:t>
      </w:r>
      <w:r w:rsidR="005E5C0D">
        <w:t>, 201</w:t>
      </w:r>
      <w:r w:rsidR="004E2502">
        <w:t>7</w:t>
      </w:r>
      <w:r>
        <w:t xml:space="preserve">, the Company has recorded aggregate impairment losses of </w:t>
      </w:r>
      <w:r w:rsidRPr="000E265A">
        <w:t>$</w:t>
      </w:r>
      <w:r w:rsidR="004E2502" w:rsidRPr="000E265A">
        <w:t>881,489</w:t>
      </w:r>
      <w:r w:rsidRPr="000E265A">
        <w:t>, primarily</w:t>
      </w:r>
      <w:r w:rsidRPr="008A1EE6">
        <w:t xml:space="preserve"> resulting from patent applications not pursued.</w:t>
      </w:r>
    </w:p>
    <w:p w14:paraId="53F1D9E1" w14:textId="77777777" w:rsidR="006B43D9" w:rsidRDefault="00066449" w:rsidP="007F2330">
      <w:pPr>
        <w:pStyle w:val="Note-Normal"/>
      </w:pPr>
      <w:r>
        <w:t>Amortization and write</w:t>
      </w:r>
      <w:r w:rsidR="00012A51">
        <w:t xml:space="preserve"> </w:t>
      </w:r>
      <w:r>
        <w:t>down</w:t>
      </w:r>
      <w:r w:rsidR="001A2907">
        <w:t xml:space="preserve"> expenses are recognized in research expense.</w:t>
      </w:r>
    </w:p>
    <w:p w14:paraId="0040824E" w14:textId="77777777" w:rsidR="00D23C3D" w:rsidRDefault="002A56EB" w:rsidP="00574212">
      <w:pPr>
        <w:pStyle w:val="Note-Heading"/>
      </w:pPr>
      <w:r>
        <w:t>7</w:t>
      </w:r>
      <w:r w:rsidR="001A2907">
        <w:t>.</w:t>
      </w:r>
      <w:r w:rsidR="001A2907">
        <w:tab/>
        <w:t>Accounts payable and accrued liabilities:</w:t>
      </w:r>
    </w:p>
    <w:p w14:paraId="45D39D96" w14:textId="71250891" w:rsidR="004E2502" w:rsidRDefault="004E2502" w:rsidP="00574212">
      <w:pPr>
        <w:pStyle w:val="Note-Heading"/>
      </w:pPr>
      <w:r>
        <w:t xml:space="preserve">   </w:t>
      </w:r>
      <w:r w:rsidR="00BA7397" w:rsidRPr="00BA7397">
        <w:rPr>
          <w:noProof/>
        </w:rPr>
        <w:drawing>
          <wp:inline distT="0" distB="0" distL="0" distR="0" wp14:anchorId="608B9905" wp14:editId="6DD074FD">
            <wp:extent cx="6083300" cy="920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3300" cy="920750"/>
                    </a:xfrm>
                    <a:prstGeom prst="rect">
                      <a:avLst/>
                    </a:prstGeom>
                    <a:noFill/>
                    <a:ln>
                      <a:noFill/>
                    </a:ln>
                  </pic:spPr>
                </pic:pic>
              </a:graphicData>
            </a:graphic>
          </wp:inline>
        </w:drawing>
      </w:r>
    </w:p>
    <w:p w14:paraId="6251669F" w14:textId="17FE9492" w:rsidR="00D0415C" w:rsidRDefault="002A56EB" w:rsidP="00574212">
      <w:pPr>
        <w:pStyle w:val="Note-Heading"/>
      </w:pPr>
      <w:r>
        <w:t>8</w:t>
      </w:r>
      <w:r w:rsidR="001A2907">
        <w:t>.</w:t>
      </w:r>
      <w:r w:rsidR="001A2907">
        <w:tab/>
      </w:r>
      <w:r w:rsidR="0014541E">
        <w:t>Convertible Note</w:t>
      </w:r>
      <w:r w:rsidR="007E5862">
        <w:t xml:space="preserve"> and Loan</w:t>
      </w:r>
      <w:r w:rsidR="0014541E">
        <w:t>:</w:t>
      </w:r>
    </w:p>
    <w:p w14:paraId="67DAD5E6" w14:textId="396D524F" w:rsidR="00574212" w:rsidRPr="006A2A9D" w:rsidRDefault="007E5862" w:rsidP="007742A5">
      <w:pPr>
        <w:pStyle w:val="Note-Normal"/>
      </w:pPr>
      <w:r>
        <w:t>On December 18, 2013</w:t>
      </w:r>
      <w:r w:rsidR="00574212" w:rsidRPr="006A2A9D">
        <w:t xml:space="preserve"> the Company closed a private placement offering of a $500,000 principal, 2 year, 10% convertible redeemable unsecured note (the “Note”) and 4,000,000 share purchase warrants (“Warrants”) for gross proceeds of $500,000.  The Note can be converted at any time into common shares at the holder's option at the rate of $</w:t>
      </w:r>
      <w:r w:rsidR="00BA06C1" w:rsidRPr="006A2A9D">
        <w:t>0</w:t>
      </w:r>
      <w:r w:rsidR="00574212" w:rsidRPr="006A2A9D">
        <w:t>.15 per share.</w:t>
      </w:r>
      <w:r w:rsidR="00BA06C1" w:rsidRPr="006A2A9D">
        <w:t xml:space="preserve">  </w:t>
      </w:r>
      <w:r w:rsidR="00574212" w:rsidRPr="006A2A9D">
        <w:t xml:space="preserve">The Note is also redeemable at any time at the option of the Company at an amount equal to the face value of the Note, plus all accrued and unpaid interest, subject to the right of the holder to convert the </w:t>
      </w:r>
      <w:r w:rsidR="00BA06C1" w:rsidRPr="006A2A9D">
        <w:t>Note into common shares of the C</w:t>
      </w:r>
      <w:r w:rsidR="00574212" w:rsidRPr="006A2A9D">
        <w:t>ompany prior to redemption.  The Company may elect to pay the interest on the Note or the redemption price of the Note in common shares, in lieu of cash, at the market price of the common shares on such interest payment or redemption due date.</w:t>
      </w:r>
    </w:p>
    <w:p w14:paraId="514CC739" w14:textId="77777777" w:rsidR="00574212" w:rsidRPr="006A2A9D" w:rsidRDefault="00574212" w:rsidP="007742A5">
      <w:pPr>
        <w:pStyle w:val="Note-Normal"/>
      </w:pPr>
      <w:r w:rsidRPr="006A2A9D">
        <w:t xml:space="preserve">Each Warrant entitles the holder to purchase one common voting share at a price of $0.095 for a period of 2 years.  </w:t>
      </w:r>
    </w:p>
    <w:p w14:paraId="0983BA6A" w14:textId="77777777" w:rsidR="00574212" w:rsidRPr="006A2A9D" w:rsidRDefault="00574212" w:rsidP="007742A5">
      <w:pPr>
        <w:pStyle w:val="Note-Normal"/>
      </w:pPr>
      <w:r w:rsidRPr="006A2A9D">
        <w:t xml:space="preserve">At the time of </w:t>
      </w:r>
      <w:r w:rsidR="00902906" w:rsidRPr="006A2A9D">
        <w:t>issuance,</w:t>
      </w:r>
      <w:r w:rsidRPr="006A2A9D">
        <w:t xml:space="preserve"> the present value of the liability component of the convertible promissory note based on an estimated market in</w:t>
      </w:r>
      <w:r w:rsidR="00BA06C1" w:rsidRPr="006A2A9D">
        <w:t>terest rate of 18% was $425,566.</w:t>
      </w:r>
      <w:r w:rsidRPr="006A2A9D">
        <w:t xml:space="preserve"> </w:t>
      </w:r>
    </w:p>
    <w:p w14:paraId="1D932CC8" w14:textId="2974D3E6" w:rsidR="007F38DC" w:rsidRPr="007742A5" w:rsidRDefault="007E5862" w:rsidP="007742A5">
      <w:pPr>
        <w:pStyle w:val="Note-Normal"/>
      </w:pPr>
      <w:r>
        <w:t xml:space="preserve">On </w:t>
      </w:r>
      <w:proofErr w:type="gramStart"/>
      <w:r>
        <w:t>December 18, 2015</w:t>
      </w:r>
      <w:proofErr w:type="gramEnd"/>
      <w:r w:rsidR="007F38DC" w:rsidRPr="007742A5">
        <w:t xml:space="preserve"> the Company entered into an agreement to (a) extend the maturity date from December 18, 2015 to June</w:t>
      </w:r>
      <w:r w:rsidR="00F10FFC">
        <w:t xml:space="preserve"> </w:t>
      </w:r>
      <w:r w:rsidR="007F38DC" w:rsidRPr="007742A5">
        <w:t xml:space="preserve">18, 2017 and (b) change the price at which such Note may be convertible into common shares of the Company from $0.15 per common share to $0.10 </w:t>
      </w:r>
      <w:r w:rsidR="00971F65">
        <w:t>(pre 5 to 1</w:t>
      </w:r>
      <w:r>
        <w:t xml:space="preserve"> consolidation) </w:t>
      </w:r>
      <w:r w:rsidR="007F38DC" w:rsidRPr="007742A5">
        <w:t xml:space="preserve">per common share. All other terms of the Note remain the same. The Company also entered in an agreement to extend the time during which the 4,000,000 of its previously issued Warrants to purchase common shares may be exercised from December 18, 2015 to June 18, 2017. All of other terms of the Warrants remain the same, including the exercise prices of $0.095 </w:t>
      </w:r>
      <w:r w:rsidR="00971F65">
        <w:t>(pre 5 to 1</w:t>
      </w:r>
      <w:r>
        <w:t xml:space="preserve"> consolidation) </w:t>
      </w:r>
      <w:r w:rsidR="007F38DC" w:rsidRPr="007742A5">
        <w:t xml:space="preserve">per common share. </w:t>
      </w:r>
    </w:p>
    <w:p w14:paraId="3229B7F1" w14:textId="3567E2CD" w:rsidR="007F38DC" w:rsidRDefault="007F38DC" w:rsidP="007742A5">
      <w:pPr>
        <w:pStyle w:val="Note-Normal"/>
      </w:pPr>
      <w:r w:rsidRPr="007742A5">
        <w:t>At the time of issuance of the new note the present value of the liability component of the convertible promissory note based on a market interest rate of 18</w:t>
      </w:r>
      <w:r w:rsidRPr="001A6B4F">
        <w:t>% was $443,830.</w:t>
      </w:r>
      <w:r w:rsidRPr="007742A5">
        <w:t xml:space="preserve"> </w:t>
      </w:r>
    </w:p>
    <w:p w14:paraId="6D348EEF" w14:textId="6979A0EA" w:rsidR="00E25AD5" w:rsidRPr="007742A5" w:rsidRDefault="007E5862" w:rsidP="00E25AD5">
      <w:pPr>
        <w:pStyle w:val="Note-Normal"/>
      </w:pPr>
      <w:r>
        <w:t xml:space="preserve">On </w:t>
      </w:r>
      <w:proofErr w:type="gramStart"/>
      <w:r>
        <w:t>June 23, 2017</w:t>
      </w:r>
      <w:proofErr w:type="gramEnd"/>
      <w:r>
        <w:t xml:space="preserve"> the Company entered into an agreement for a $400,000 short term loan to bridge its cash needs for</w:t>
      </w:r>
      <w:r w:rsidR="00E25AD5">
        <w:t xml:space="preserve"> operations until its $4,008,599 private placement offering closed on</w:t>
      </w:r>
      <w:r>
        <w:t xml:space="preserve"> July </w:t>
      </w:r>
      <w:r w:rsidR="00E25AD5">
        <w:t xml:space="preserve">17, </w:t>
      </w:r>
      <w:r>
        <w:t>2017.</w:t>
      </w:r>
    </w:p>
    <w:p w14:paraId="058276BD" w14:textId="52C59DC4" w:rsidR="007F38DC" w:rsidRPr="00E25AD5" w:rsidRDefault="00E25AD5" w:rsidP="00E25AD5">
      <w:pPr>
        <w:pStyle w:val="Note-Normal"/>
      </w:pPr>
      <w:r w:rsidRPr="00E25AD5">
        <w:t xml:space="preserve">  </w:t>
      </w:r>
    </w:p>
    <w:p w14:paraId="7911F07F" w14:textId="77777777" w:rsidR="007F38DC" w:rsidRPr="00E25AD5" w:rsidRDefault="007F38DC" w:rsidP="00E25AD5">
      <w:pPr>
        <w:pStyle w:val="Note-Normal"/>
      </w:pPr>
    </w:p>
    <w:p w14:paraId="36754D40" w14:textId="3603CE34" w:rsidR="007F38DC" w:rsidRDefault="007F38DC" w:rsidP="007742A5">
      <w:pPr>
        <w:pStyle w:val="Note-Normal"/>
      </w:pPr>
    </w:p>
    <w:p w14:paraId="4B0A7D5A" w14:textId="5AF35920" w:rsidR="00554A59" w:rsidRDefault="00554A59" w:rsidP="007742A5">
      <w:pPr>
        <w:pStyle w:val="Note-Normal"/>
      </w:pPr>
    </w:p>
    <w:p w14:paraId="44AF11D8" w14:textId="3D4F858E" w:rsidR="00554A59" w:rsidRDefault="00554A59" w:rsidP="007742A5">
      <w:pPr>
        <w:pStyle w:val="Note-Normal"/>
      </w:pPr>
    </w:p>
    <w:p w14:paraId="66A519A8" w14:textId="6F2D5200" w:rsidR="00DA7D92" w:rsidRDefault="00DA7D92" w:rsidP="007742A5">
      <w:pPr>
        <w:pStyle w:val="Note-Normal"/>
      </w:pPr>
    </w:p>
    <w:p w14:paraId="4AAA816B" w14:textId="77777777" w:rsidR="00E35164" w:rsidRDefault="00E35164" w:rsidP="007742A5">
      <w:pPr>
        <w:pStyle w:val="Note-Normal"/>
      </w:pPr>
    </w:p>
    <w:p w14:paraId="1215D264" w14:textId="11BCFCE0" w:rsidR="007F38DC" w:rsidRDefault="007F38DC" w:rsidP="007F38DC">
      <w:pPr>
        <w:pStyle w:val="Note-Heading"/>
      </w:pPr>
      <w:r>
        <w:lastRenderedPageBreak/>
        <w:t>8.</w:t>
      </w:r>
      <w:r>
        <w:tab/>
        <w:t>Convertible Note</w:t>
      </w:r>
      <w:r w:rsidR="007E5862">
        <w:t xml:space="preserve"> and Loan</w:t>
      </w:r>
      <w:r>
        <w:t xml:space="preserve"> (continued):</w:t>
      </w:r>
    </w:p>
    <w:p w14:paraId="0C6BD081" w14:textId="1876814B" w:rsidR="007F38DC" w:rsidRPr="007742A5" w:rsidRDefault="007F38DC" w:rsidP="007742A5">
      <w:pPr>
        <w:pStyle w:val="Note-Normal"/>
      </w:pPr>
      <w:r w:rsidRPr="007742A5">
        <w:t>The following is a summary of the</w:t>
      </w:r>
      <w:r w:rsidR="006F7F01">
        <w:t xml:space="preserve"> convertible note</w:t>
      </w:r>
      <w:r w:rsidR="007E5862">
        <w:t xml:space="preserve"> and loan</w:t>
      </w:r>
      <w:r w:rsidR="006F7F01">
        <w:t xml:space="preserve"> as at June 30</w:t>
      </w:r>
      <w:r w:rsidRPr="007742A5">
        <w:t>, 2017:</w:t>
      </w:r>
    </w:p>
    <w:p w14:paraId="1F2A9CE9" w14:textId="60CDB5BF" w:rsidR="00D0415C" w:rsidRPr="007F38DC" w:rsidRDefault="00BE3A08" w:rsidP="007F38DC">
      <w:pPr>
        <w:pStyle w:val="Note-Sub-normal"/>
        <w:rPr>
          <w:spacing w:val="-2"/>
        </w:rPr>
      </w:pPr>
      <w:r w:rsidRPr="00BE3A08">
        <w:drawing>
          <wp:inline distT="0" distB="0" distL="0" distR="0" wp14:anchorId="7F3E4508" wp14:editId="3F956197">
            <wp:extent cx="6103620" cy="440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3620" cy="4404360"/>
                    </a:xfrm>
                    <a:prstGeom prst="rect">
                      <a:avLst/>
                    </a:prstGeom>
                    <a:noFill/>
                    <a:ln>
                      <a:noFill/>
                    </a:ln>
                  </pic:spPr>
                </pic:pic>
              </a:graphicData>
            </a:graphic>
          </wp:inline>
        </w:drawing>
      </w:r>
      <w:bookmarkStart w:id="0" w:name="_GoBack"/>
      <w:bookmarkEnd w:id="0"/>
      <w:r w:rsidR="00CD4EB7">
        <w:tab/>
      </w:r>
    </w:p>
    <w:p w14:paraId="40D26B64" w14:textId="77777777" w:rsidR="006703BA" w:rsidRDefault="002A56EB">
      <w:pPr>
        <w:pStyle w:val="Note-Heading"/>
      </w:pPr>
      <w:r>
        <w:t>9</w:t>
      </w:r>
      <w:r w:rsidR="005A1F9D">
        <w:t>.</w:t>
      </w:r>
      <w:r w:rsidR="005A1F9D">
        <w:tab/>
        <w:t>Share capital</w:t>
      </w:r>
      <w:r w:rsidR="002868B0">
        <w:t>:</w:t>
      </w:r>
    </w:p>
    <w:p w14:paraId="636E9F83" w14:textId="77777777" w:rsidR="00072E7A" w:rsidRDefault="001A2907">
      <w:pPr>
        <w:pStyle w:val="Note-Sub-heading"/>
      </w:pPr>
      <w:r>
        <w:t>(a)</w:t>
      </w:r>
      <w:r>
        <w:tab/>
        <w:t>Authorized</w:t>
      </w:r>
    </w:p>
    <w:p w14:paraId="25EA49AC" w14:textId="77777777" w:rsidR="002868B0" w:rsidRDefault="001A2907" w:rsidP="00FA3FE3">
      <w:pPr>
        <w:pStyle w:val="Note-Sub-normal"/>
      </w:pPr>
      <w:r>
        <w:t>The Company has authorized share capital of an unlimited number of common voting shares, an unlimited number of class A common shares and an unlimited number of preferred shares.  The preferred shares may be issued in one or more series, and the directors may fix prior to each series issued, the designation, rights, privileges, restrictions and conditions attached to each series of preferred shares.</w:t>
      </w:r>
    </w:p>
    <w:p w14:paraId="2819003C" w14:textId="77777777" w:rsidR="00327003" w:rsidRDefault="00327003" w:rsidP="00FA3FE3">
      <w:pPr>
        <w:pStyle w:val="Note-Sub-normal"/>
      </w:pPr>
    </w:p>
    <w:p w14:paraId="622AD2D7" w14:textId="77777777" w:rsidR="00327003" w:rsidRDefault="00327003" w:rsidP="00FA3FE3">
      <w:pPr>
        <w:pStyle w:val="Note-Sub-normal"/>
      </w:pPr>
    </w:p>
    <w:p w14:paraId="1FE7622A" w14:textId="77777777" w:rsidR="00327003" w:rsidRDefault="00327003" w:rsidP="00FA3FE3">
      <w:pPr>
        <w:pStyle w:val="Note-Sub-normal"/>
      </w:pPr>
    </w:p>
    <w:p w14:paraId="0AADB9DB" w14:textId="77777777" w:rsidR="00327003" w:rsidRDefault="00327003" w:rsidP="00FA3FE3">
      <w:pPr>
        <w:pStyle w:val="Note-Sub-normal"/>
      </w:pPr>
    </w:p>
    <w:p w14:paraId="45BFBCCF" w14:textId="77777777" w:rsidR="00327003" w:rsidRDefault="00327003" w:rsidP="00FA3FE3">
      <w:pPr>
        <w:pStyle w:val="Note-Sub-normal"/>
      </w:pPr>
    </w:p>
    <w:p w14:paraId="366FE2FF" w14:textId="07F2AC80" w:rsidR="00E35164" w:rsidRDefault="00E35164" w:rsidP="00554A59">
      <w:pPr>
        <w:pStyle w:val="Note-Sub-normal"/>
        <w:ind w:left="0"/>
      </w:pPr>
    </w:p>
    <w:p w14:paraId="0F9A90E6" w14:textId="77777777" w:rsidR="002868B0" w:rsidRDefault="002A56EB" w:rsidP="002868B0">
      <w:pPr>
        <w:pStyle w:val="Note-Heading"/>
      </w:pPr>
      <w:r>
        <w:lastRenderedPageBreak/>
        <w:t>9</w:t>
      </w:r>
      <w:r w:rsidR="002868B0">
        <w:t>.</w:t>
      </w:r>
      <w:r w:rsidR="002868B0">
        <w:tab/>
        <w:t>Share capital (continued):</w:t>
      </w:r>
    </w:p>
    <w:p w14:paraId="37B57D47" w14:textId="51187ECB" w:rsidR="00072E7A" w:rsidRDefault="001A2907">
      <w:pPr>
        <w:pStyle w:val="Note-Sub-heading"/>
        <w:tabs>
          <w:tab w:val="left" w:pos="3600"/>
        </w:tabs>
      </w:pPr>
      <w:r>
        <w:t>(b</w:t>
      </w:r>
      <w:r w:rsidR="0060171F">
        <w:t>)</w:t>
      </w:r>
      <w:r w:rsidR="0060171F">
        <w:tab/>
        <w:t>Shares issued and outstanding</w:t>
      </w:r>
    </w:p>
    <w:p w14:paraId="4893EFB3" w14:textId="77777777" w:rsidR="00072E7A" w:rsidRDefault="001A2907">
      <w:pPr>
        <w:pStyle w:val="Note-Sub-normal"/>
      </w:pPr>
      <w:r>
        <w:t>Shares issued and outstanding are as follows:</w:t>
      </w:r>
    </w:p>
    <w:p w14:paraId="6E5F76DF" w14:textId="77777777" w:rsidR="0080015A" w:rsidRDefault="0080015A" w:rsidP="0080015A">
      <w:pPr>
        <w:pStyle w:val="Note-Sub-normal"/>
        <w:spacing w:before="0"/>
        <w:jc w:val="left"/>
      </w:pPr>
    </w:p>
    <w:p w14:paraId="5F6048D6" w14:textId="1EF5E4F9" w:rsidR="004E788F" w:rsidRDefault="00932CCB" w:rsidP="0080015A">
      <w:pPr>
        <w:pStyle w:val="Note-Sub-normal"/>
        <w:spacing w:before="0"/>
        <w:jc w:val="left"/>
      </w:pPr>
      <w:r w:rsidRPr="00932CCB">
        <w:rPr>
          <w:noProof/>
        </w:rPr>
        <w:drawing>
          <wp:inline distT="0" distB="0" distL="0" distR="0" wp14:anchorId="229891D9" wp14:editId="4B588BBE">
            <wp:extent cx="6234430" cy="2569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34430" cy="2569845"/>
                    </a:xfrm>
                    <a:prstGeom prst="rect">
                      <a:avLst/>
                    </a:prstGeom>
                    <a:noFill/>
                    <a:ln>
                      <a:noFill/>
                    </a:ln>
                  </pic:spPr>
                </pic:pic>
              </a:graphicData>
            </a:graphic>
          </wp:inline>
        </w:drawing>
      </w:r>
    </w:p>
    <w:p w14:paraId="0BD73574" w14:textId="77777777" w:rsidR="005776E1" w:rsidRDefault="005776E1" w:rsidP="0037722D">
      <w:pPr>
        <w:pStyle w:val="Note-Sub-normal"/>
        <w:spacing w:before="0"/>
        <w:ind w:left="0"/>
        <w:jc w:val="left"/>
      </w:pPr>
    </w:p>
    <w:p w14:paraId="5B5C18EF" w14:textId="4399C856" w:rsidR="006F7F01" w:rsidRPr="000913CF" w:rsidRDefault="006F7F01" w:rsidP="000913CF">
      <w:pPr>
        <w:widowControl/>
        <w:shd w:val="clear" w:color="auto" w:fill="FFFFFF"/>
        <w:autoSpaceDE/>
        <w:autoSpaceDN/>
        <w:adjustRightInd/>
        <w:spacing w:before="144"/>
        <w:ind w:left="720"/>
        <w:jc w:val="both"/>
        <w:rPr>
          <w:spacing w:val="-2"/>
        </w:rPr>
      </w:pPr>
      <w:bookmarkStart w:id="1" w:name="_Hlk488846068"/>
      <w:r w:rsidRPr="00F327F1">
        <w:t>During the period ende</w:t>
      </w:r>
      <w:r w:rsidR="00F327F1">
        <w:t xml:space="preserve">d June 30, 2017, </w:t>
      </w:r>
      <w:r w:rsidR="000913CF">
        <w:t>t</w:t>
      </w:r>
      <w:r w:rsidR="000913CF" w:rsidRPr="000913CF">
        <w:t>he Company received a loan</w:t>
      </w:r>
      <w:r w:rsidR="000913CF">
        <w:t xml:space="preserve"> in the amount of $400,000 from</w:t>
      </w:r>
      <w:r w:rsidR="000913CF" w:rsidRPr="000913CF">
        <w:t xml:space="preserve"> an </w:t>
      </w:r>
      <w:r w:rsidR="000913CF">
        <w:t>arm’s length third-party lender.</w:t>
      </w:r>
      <w:r w:rsidR="000913CF" w:rsidRPr="000913CF">
        <w:t xml:space="preserve"> The Loan bears interest at 12% per annum and was repaid on July 20, 2017</w:t>
      </w:r>
      <w:r w:rsidR="000913CF">
        <w:t>.</w:t>
      </w:r>
      <w:r w:rsidR="000913CF" w:rsidRPr="000913CF">
        <w:t xml:space="preserve"> </w:t>
      </w:r>
      <w:r w:rsidR="000913CF">
        <w:t>Additional co</w:t>
      </w:r>
      <w:r w:rsidR="000913CF" w:rsidRPr="000913CF">
        <w:t>nsi</w:t>
      </w:r>
      <w:r w:rsidR="00932CCB">
        <w:t>deration for the loan guarantee</w:t>
      </w:r>
      <w:r w:rsidR="000913CF" w:rsidRPr="000913CF">
        <w:t xml:space="preserve"> </w:t>
      </w:r>
      <w:r w:rsidR="000913CF">
        <w:t xml:space="preserve">was the issuance of </w:t>
      </w:r>
      <w:r w:rsidR="000913CF" w:rsidRPr="000913CF">
        <w:t>800,000 share purchase warrants at a price of $0.18 per common share for a period one year from the dat</w:t>
      </w:r>
      <w:r w:rsidR="000913CF">
        <w:t xml:space="preserve">e of issuance of the </w:t>
      </w:r>
      <w:r w:rsidR="000913CF" w:rsidRPr="000913CF">
        <w:rPr>
          <w:spacing w:val="-2"/>
        </w:rPr>
        <w:t xml:space="preserve">warrants. </w:t>
      </w:r>
    </w:p>
    <w:p w14:paraId="5A2A5258" w14:textId="59E5AE49" w:rsidR="005776E1" w:rsidRPr="005776E1" w:rsidRDefault="005776E1" w:rsidP="0037722D">
      <w:pPr>
        <w:widowControl/>
        <w:shd w:val="clear" w:color="auto" w:fill="FFFFFF"/>
        <w:autoSpaceDE/>
        <w:autoSpaceDN/>
        <w:adjustRightInd/>
        <w:spacing w:before="144"/>
        <w:ind w:left="720"/>
        <w:jc w:val="both"/>
        <w:rPr>
          <w:spacing w:val="-2"/>
        </w:rPr>
      </w:pPr>
      <w:r w:rsidRPr="000913CF">
        <w:rPr>
          <w:spacing w:val="-2"/>
        </w:rPr>
        <w:t>During the</w:t>
      </w:r>
      <w:r w:rsidRPr="000913CF">
        <w:t xml:space="preserve"> period ended March 31, 2017, </w:t>
      </w:r>
      <w:r w:rsidRPr="000913CF">
        <w:rPr>
          <w:spacing w:val="-2"/>
        </w:rPr>
        <w:t>the Company completed the consolidation of its issued and</w:t>
      </w:r>
      <w:r w:rsidRPr="001C623F">
        <w:rPr>
          <w:spacing w:val="-2"/>
        </w:rPr>
        <w:t xml:space="preserve"> outstanding common shares on the basis of one post-consolidation common share for every five pre-consolidation common shares (the “Consolidation”) re</w:t>
      </w:r>
      <w:r>
        <w:rPr>
          <w:spacing w:val="-2"/>
        </w:rPr>
        <w:t>sulting in a total of 45,528,288</w:t>
      </w:r>
      <w:r w:rsidRPr="001C623F">
        <w:rPr>
          <w:spacing w:val="-2"/>
        </w:rPr>
        <w:t xml:space="preserve"> common shares issued and outstandin</w:t>
      </w:r>
      <w:r>
        <w:rPr>
          <w:spacing w:val="-2"/>
        </w:rPr>
        <w:t xml:space="preserve">g following the Consolidation. </w:t>
      </w:r>
    </w:p>
    <w:p w14:paraId="24A5E472" w14:textId="5B95075A" w:rsidR="00805FEA" w:rsidRDefault="005776E1" w:rsidP="0037722D">
      <w:pPr>
        <w:pStyle w:val="Note-Sub-normal"/>
        <w:ind w:leftChars="400"/>
      </w:pPr>
      <w:r>
        <w:t>Also, d</w:t>
      </w:r>
      <w:r w:rsidR="00D267EF" w:rsidRPr="00953C9E">
        <w:t xml:space="preserve">uring </w:t>
      </w:r>
      <w:r w:rsidR="00E87B45">
        <w:t xml:space="preserve">the </w:t>
      </w:r>
      <w:r w:rsidR="007F38DC">
        <w:t>period ended March 31, 2017</w:t>
      </w:r>
      <w:r w:rsidR="00D267EF">
        <w:t xml:space="preserve"> the Company elected to issue, in lieu of cash, </w:t>
      </w:r>
      <w:r w:rsidR="00053B3D">
        <w:t>80,2</w:t>
      </w:r>
      <w:r w:rsidR="00B41817" w:rsidRPr="00B41817">
        <w:t>51</w:t>
      </w:r>
      <w:r w:rsidR="00D267EF">
        <w:t xml:space="preserve"> common shares in </w:t>
      </w:r>
      <w:r w:rsidR="00D267EF" w:rsidRPr="002418B5">
        <w:t xml:space="preserve">payment of </w:t>
      </w:r>
      <w:r w:rsidR="00876DAA" w:rsidRPr="00561A40">
        <w:t>$</w:t>
      </w:r>
      <w:r w:rsidR="00053B3D" w:rsidRPr="00561A40">
        <w:t>12,439</w:t>
      </w:r>
      <w:r w:rsidR="00D267EF" w:rsidRPr="00561A40">
        <w:t xml:space="preserve"> in</w:t>
      </w:r>
      <w:r w:rsidR="00D267EF">
        <w:t xml:space="preserve"> interest owing on the Company’s convertible note (Note 8). </w:t>
      </w:r>
    </w:p>
    <w:p w14:paraId="0B39A12A" w14:textId="77777777" w:rsidR="00B41817" w:rsidRDefault="00B41817" w:rsidP="0037722D">
      <w:pPr>
        <w:pStyle w:val="Note-Sub-normal"/>
        <w:ind w:leftChars="400"/>
      </w:pPr>
      <w:r>
        <w:t xml:space="preserve">Also, during the </w:t>
      </w:r>
      <w:r w:rsidR="00053B3D">
        <w:t>period ended March 31, 2017, 1,250</w:t>
      </w:r>
      <w:r>
        <w:t xml:space="preserve">,000 warrants </w:t>
      </w:r>
      <w:r w:rsidR="00053B3D">
        <w:t xml:space="preserve">issued in March 29, 2016 expired. </w:t>
      </w:r>
    </w:p>
    <w:p w14:paraId="3CE88121" w14:textId="1743EC22" w:rsidR="00053B3D" w:rsidRPr="0037722D" w:rsidRDefault="00053B3D" w:rsidP="0037722D">
      <w:pPr>
        <w:pStyle w:val="Default"/>
        <w:spacing w:before="144"/>
        <w:ind w:left="720"/>
        <w:jc w:val="both"/>
        <w:rPr>
          <w:sz w:val="18"/>
          <w:szCs w:val="18"/>
        </w:rPr>
      </w:pPr>
      <w:r>
        <w:rPr>
          <w:sz w:val="18"/>
          <w:szCs w:val="18"/>
        </w:rPr>
        <w:t>During the year ended December 31</w:t>
      </w:r>
      <w:r w:rsidRPr="00CD7AE4">
        <w:rPr>
          <w:sz w:val="18"/>
          <w:szCs w:val="18"/>
        </w:rPr>
        <w:t>, 2016</w:t>
      </w:r>
      <w:r w:rsidR="00932CCB">
        <w:rPr>
          <w:sz w:val="18"/>
          <w:szCs w:val="18"/>
        </w:rPr>
        <w:t>,</w:t>
      </w:r>
      <w:r w:rsidRPr="00CD7AE4">
        <w:rPr>
          <w:sz w:val="18"/>
          <w:szCs w:val="18"/>
        </w:rPr>
        <w:t xml:space="preserve"> 4,500,000 </w:t>
      </w:r>
      <w:bookmarkStart w:id="2" w:name="_Hlk489432085"/>
      <w:r w:rsidR="00561A40">
        <w:rPr>
          <w:sz w:val="18"/>
          <w:szCs w:val="18"/>
        </w:rPr>
        <w:t>(</w:t>
      </w:r>
      <w:proofErr w:type="gramStart"/>
      <w:r w:rsidR="00561A40">
        <w:rPr>
          <w:sz w:val="18"/>
          <w:szCs w:val="18"/>
        </w:rPr>
        <w:t>pre 5</w:t>
      </w:r>
      <w:proofErr w:type="gramEnd"/>
      <w:r w:rsidR="00561A40">
        <w:rPr>
          <w:sz w:val="18"/>
          <w:szCs w:val="18"/>
        </w:rPr>
        <w:t xml:space="preserve"> to 1 </w:t>
      </w:r>
      <w:r w:rsidR="007E5862" w:rsidRPr="007E5862">
        <w:rPr>
          <w:sz w:val="18"/>
          <w:szCs w:val="18"/>
        </w:rPr>
        <w:t>consolidation)</w:t>
      </w:r>
      <w:r w:rsidR="007E5862">
        <w:t xml:space="preserve"> </w:t>
      </w:r>
      <w:bookmarkEnd w:id="2"/>
      <w:r w:rsidRPr="00CD7AE4">
        <w:rPr>
          <w:sz w:val="18"/>
          <w:szCs w:val="18"/>
        </w:rPr>
        <w:t>warrants from the 2014 private placement offering (the “2014 Offering”) were exercised for common shares</w:t>
      </w:r>
      <w:r>
        <w:rPr>
          <w:sz w:val="18"/>
          <w:szCs w:val="18"/>
        </w:rPr>
        <w:t xml:space="preserve"> for gross proceeds of </w:t>
      </w:r>
      <w:r w:rsidRPr="001603F0">
        <w:rPr>
          <w:sz w:val="18"/>
          <w:szCs w:val="18"/>
        </w:rPr>
        <w:t>$</w:t>
      </w:r>
      <w:r>
        <w:rPr>
          <w:sz w:val="18"/>
          <w:szCs w:val="18"/>
        </w:rPr>
        <w:t xml:space="preserve">312,607 net of issuance costs of </w:t>
      </w:r>
      <w:r w:rsidRPr="001603F0">
        <w:rPr>
          <w:sz w:val="18"/>
          <w:szCs w:val="18"/>
        </w:rPr>
        <w:t>$564.</w:t>
      </w:r>
      <w:r>
        <w:rPr>
          <w:sz w:val="18"/>
          <w:szCs w:val="18"/>
        </w:rPr>
        <w:t xml:space="preserve"> During the year ended December 31, 2015 11,000,000 </w:t>
      </w:r>
      <w:r w:rsidR="00561A40">
        <w:rPr>
          <w:sz w:val="18"/>
          <w:szCs w:val="18"/>
        </w:rPr>
        <w:t xml:space="preserve">(pre 5 to 1 </w:t>
      </w:r>
      <w:r w:rsidR="00876DAA" w:rsidRPr="007E5862">
        <w:rPr>
          <w:sz w:val="18"/>
          <w:szCs w:val="18"/>
        </w:rPr>
        <w:t>consolidation)</w:t>
      </w:r>
      <w:r w:rsidR="00876DAA">
        <w:t xml:space="preserve"> </w:t>
      </w:r>
      <w:r>
        <w:rPr>
          <w:sz w:val="18"/>
          <w:szCs w:val="18"/>
        </w:rPr>
        <w:t xml:space="preserve">warrants from the “2014 Offering” were exercised for common shares for gross proceeds of </w:t>
      </w:r>
      <w:r w:rsidRPr="00561A40">
        <w:rPr>
          <w:sz w:val="18"/>
          <w:szCs w:val="18"/>
        </w:rPr>
        <w:t>$659,249</w:t>
      </w:r>
      <w:r>
        <w:rPr>
          <w:sz w:val="18"/>
          <w:szCs w:val="18"/>
        </w:rPr>
        <w:t xml:space="preserve"> net of issuance costs of $751.</w:t>
      </w:r>
    </w:p>
    <w:p w14:paraId="3EAEA3A8" w14:textId="00355FA7" w:rsidR="00053B3D" w:rsidRDefault="00053B3D" w:rsidP="0037722D">
      <w:pPr>
        <w:pStyle w:val="Default"/>
        <w:spacing w:before="144"/>
        <w:ind w:left="720"/>
        <w:jc w:val="both"/>
        <w:rPr>
          <w:sz w:val="18"/>
          <w:szCs w:val="18"/>
        </w:rPr>
      </w:pPr>
      <w:r>
        <w:rPr>
          <w:sz w:val="18"/>
          <w:szCs w:val="18"/>
        </w:rPr>
        <w:t xml:space="preserve">Also during the year </w:t>
      </w:r>
      <w:r w:rsidRPr="00261B22">
        <w:rPr>
          <w:sz w:val="18"/>
          <w:szCs w:val="18"/>
        </w:rPr>
        <w:t xml:space="preserve">ended December 31, 2016, the Company elected to issue, in lieu of cash, 1,016,723 </w:t>
      </w:r>
      <w:r w:rsidR="00561A40">
        <w:rPr>
          <w:sz w:val="18"/>
          <w:szCs w:val="18"/>
        </w:rPr>
        <w:t xml:space="preserve">(pre 5 to 1 </w:t>
      </w:r>
      <w:r w:rsidR="00876DAA" w:rsidRPr="007E5862">
        <w:rPr>
          <w:sz w:val="18"/>
          <w:szCs w:val="18"/>
        </w:rPr>
        <w:t>consolidation)</w:t>
      </w:r>
      <w:r w:rsidR="00876DAA">
        <w:t xml:space="preserve"> </w:t>
      </w:r>
      <w:r w:rsidRPr="00261B22">
        <w:rPr>
          <w:sz w:val="18"/>
          <w:szCs w:val="18"/>
        </w:rPr>
        <w:t>common shares in payment of $</w:t>
      </w:r>
      <w:r>
        <w:rPr>
          <w:sz w:val="18"/>
          <w:szCs w:val="18"/>
        </w:rPr>
        <w:t>50,835</w:t>
      </w:r>
      <w:r w:rsidRPr="00FF6C16">
        <w:rPr>
          <w:sz w:val="18"/>
          <w:szCs w:val="18"/>
        </w:rPr>
        <w:t xml:space="preserve"> in interest owing on the Co</w:t>
      </w:r>
      <w:r>
        <w:rPr>
          <w:sz w:val="18"/>
          <w:szCs w:val="18"/>
        </w:rPr>
        <w:t>mpany’s convertible note</w:t>
      </w:r>
      <w:r w:rsidRPr="00FF6C16">
        <w:rPr>
          <w:sz w:val="18"/>
          <w:szCs w:val="18"/>
        </w:rPr>
        <w:t>.</w:t>
      </w:r>
      <w:r>
        <w:rPr>
          <w:sz w:val="18"/>
          <w:szCs w:val="18"/>
        </w:rPr>
        <w:t xml:space="preserve"> Issue costs associated with this transaction were $2,254.  During the year ended December 31, 2015, the Company elected to issue, in lieu o</w:t>
      </w:r>
      <w:r w:rsidR="00876DAA">
        <w:rPr>
          <w:sz w:val="18"/>
          <w:szCs w:val="18"/>
        </w:rPr>
        <w:t>f cash</w:t>
      </w:r>
      <w:r>
        <w:rPr>
          <w:sz w:val="18"/>
          <w:szCs w:val="18"/>
        </w:rPr>
        <w:t xml:space="preserve"> 1,008,353 </w:t>
      </w:r>
      <w:r w:rsidR="00561A40">
        <w:rPr>
          <w:sz w:val="18"/>
          <w:szCs w:val="18"/>
        </w:rPr>
        <w:t xml:space="preserve">(pre 5 to 1 </w:t>
      </w:r>
      <w:r w:rsidR="00876DAA" w:rsidRPr="007E5862">
        <w:rPr>
          <w:sz w:val="18"/>
          <w:szCs w:val="18"/>
        </w:rPr>
        <w:t>consolidation)</w:t>
      </w:r>
      <w:r w:rsidR="00876DAA">
        <w:t xml:space="preserve"> </w:t>
      </w:r>
      <w:r>
        <w:rPr>
          <w:sz w:val="18"/>
          <w:szCs w:val="18"/>
        </w:rPr>
        <w:t>common shares in payment of $50,418. Issue costs associated with this transaction were $1,577.</w:t>
      </w:r>
    </w:p>
    <w:p w14:paraId="4CC9479C" w14:textId="0D8EDA42" w:rsidR="00053B3D" w:rsidRDefault="00053B3D" w:rsidP="00875B84">
      <w:pPr>
        <w:pStyle w:val="Default"/>
        <w:spacing w:before="144"/>
        <w:ind w:left="720"/>
        <w:jc w:val="both"/>
        <w:rPr>
          <w:sz w:val="18"/>
          <w:szCs w:val="18"/>
        </w:rPr>
      </w:pPr>
      <w:r>
        <w:rPr>
          <w:sz w:val="18"/>
          <w:szCs w:val="18"/>
        </w:rPr>
        <w:t>Also during the year ended December 31</w:t>
      </w:r>
      <w:r w:rsidRPr="00CD7AE4">
        <w:rPr>
          <w:sz w:val="18"/>
          <w:szCs w:val="18"/>
        </w:rPr>
        <w:t>, 2016</w:t>
      </w:r>
      <w:r>
        <w:rPr>
          <w:sz w:val="18"/>
          <w:szCs w:val="18"/>
        </w:rPr>
        <w:t xml:space="preserve">, the Company issued </w:t>
      </w:r>
      <w:r w:rsidRPr="00CD7AE4">
        <w:rPr>
          <w:sz w:val="18"/>
          <w:szCs w:val="18"/>
        </w:rPr>
        <w:t xml:space="preserve">81,074,389 </w:t>
      </w:r>
      <w:r w:rsidR="00561A40">
        <w:rPr>
          <w:sz w:val="18"/>
          <w:szCs w:val="18"/>
        </w:rPr>
        <w:t xml:space="preserve">(pre 5 to 1 </w:t>
      </w:r>
      <w:r w:rsidR="00876DAA" w:rsidRPr="007E5862">
        <w:rPr>
          <w:sz w:val="18"/>
          <w:szCs w:val="18"/>
        </w:rPr>
        <w:t>consolidation)</w:t>
      </w:r>
      <w:r w:rsidR="00876DAA">
        <w:t xml:space="preserve"> </w:t>
      </w:r>
      <w:r w:rsidRPr="00CD7AE4">
        <w:rPr>
          <w:sz w:val="18"/>
          <w:szCs w:val="18"/>
        </w:rPr>
        <w:t xml:space="preserve">common shares for aggregate gross proceeds of $2,432,232. Pursuant to the Rights Offering, the Company issued 74,191,277 </w:t>
      </w:r>
      <w:r w:rsidR="00561A40">
        <w:rPr>
          <w:sz w:val="18"/>
          <w:szCs w:val="18"/>
        </w:rPr>
        <w:t>(pre 5 to 1</w:t>
      </w:r>
      <w:r w:rsidR="00876DAA" w:rsidRPr="007E5862">
        <w:rPr>
          <w:sz w:val="18"/>
          <w:szCs w:val="18"/>
        </w:rPr>
        <w:t xml:space="preserve"> consolidation)</w:t>
      </w:r>
      <w:r w:rsidR="00876DAA">
        <w:t xml:space="preserve"> </w:t>
      </w:r>
      <w:r w:rsidRPr="00CD7AE4">
        <w:rPr>
          <w:sz w:val="18"/>
          <w:szCs w:val="18"/>
        </w:rPr>
        <w:t xml:space="preserve">Common Shares under the basic subscription privilege and 6,883,112 </w:t>
      </w:r>
      <w:r w:rsidR="00561A40">
        <w:rPr>
          <w:sz w:val="18"/>
          <w:szCs w:val="18"/>
        </w:rPr>
        <w:t>(pre 5 to 1</w:t>
      </w:r>
      <w:r w:rsidR="00876DAA" w:rsidRPr="007E5862">
        <w:rPr>
          <w:sz w:val="18"/>
          <w:szCs w:val="18"/>
        </w:rPr>
        <w:t xml:space="preserve"> consolidation)</w:t>
      </w:r>
      <w:r w:rsidR="00876DAA">
        <w:t xml:space="preserve"> </w:t>
      </w:r>
      <w:r w:rsidRPr="00CD7AE4">
        <w:rPr>
          <w:sz w:val="18"/>
          <w:szCs w:val="18"/>
        </w:rPr>
        <w:t>Common Shares under the additional subscription privilege.</w:t>
      </w:r>
      <w:r>
        <w:rPr>
          <w:sz w:val="18"/>
          <w:szCs w:val="18"/>
        </w:rPr>
        <w:t xml:space="preserve"> Issue costs associated with the transaction were $99,062.  </w:t>
      </w:r>
      <w:r w:rsidRPr="00CD7AE4">
        <w:rPr>
          <w:sz w:val="18"/>
          <w:szCs w:val="18"/>
        </w:rPr>
        <w:t xml:space="preserve">  </w:t>
      </w:r>
    </w:p>
    <w:p w14:paraId="3F7E32F3" w14:textId="29C8588D" w:rsidR="00327519" w:rsidRDefault="00053B3D" w:rsidP="0019433F">
      <w:pPr>
        <w:pStyle w:val="Default"/>
        <w:spacing w:before="144"/>
        <w:ind w:left="720"/>
        <w:jc w:val="both"/>
        <w:rPr>
          <w:sz w:val="18"/>
          <w:szCs w:val="18"/>
        </w:rPr>
      </w:pPr>
      <w:r>
        <w:rPr>
          <w:sz w:val="18"/>
          <w:szCs w:val="18"/>
        </w:rPr>
        <w:t>Also during the year ended December 31</w:t>
      </w:r>
      <w:r w:rsidRPr="00CD7AE4">
        <w:rPr>
          <w:sz w:val="18"/>
          <w:szCs w:val="18"/>
        </w:rPr>
        <w:t>, 2016</w:t>
      </w:r>
      <w:r>
        <w:rPr>
          <w:sz w:val="18"/>
          <w:szCs w:val="18"/>
        </w:rPr>
        <w:t xml:space="preserve">, </w:t>
      </w:r>
      <w:r w:rsidRPr="00CD7AE4">
        <w:rPr>
          <w:sz w:val="18"/>
          <w:szCs w:val="18"/>
        </w:rPr>
        <w:t xml:space="preserve">the Company closed a private placement offering of common shares at a price of $0.03 per Common Share. At the closing, 22,018,158 </w:t>
      </w:r>
      <w:r w:rsidR="00561A40">
        <w:rPr>
          <w:sz w:val="18"/>
          <w:szCs w:val="18"/>
        </w:rPr>
        <w:t xml:space="preserve">(pre 5 to 1 </w:t>
      </w:r>
      <w:r w:rsidR="00876DAA" w:rsidRPr="007E5862">
        <w:rPr>
          <w:sz w:val="18"/>
          <w:szCs w:val="18"/>
        </w:rPr>
        <w:t>consolidation)</w:t>
      </w:r>
      <w:r w:rsidR="00876DAA">
        <w:t xml:space="preserve"> </w:t>
      </w:r>
      <w:r w:rsidRPr="00CD7AE4">
        <w:rPr>
          <w:sz w:val="18"/>
          <w:szCs w:val="18"/>
        </w:rPr>
        <w:t>Common Shares were issued for aggr</w:t>
      </w:r>
      <w:r>
        <w:rPr>
          <w:sz w:val="18"/>
          <w:szCs w:val="18"/>
        </w:rPr>
        <w:t>egate gross proceeds of $660,545. Issue costs associated with the transaction were $31,324.</w:t>
      </w:r>
      <w:bookmarkEnd w:id="1"/>
    </w:p>
    <w:p w14:paraId="5EBE9DC0" w14:textId="77777777" w:rsidR="00327519" w:rsidRPr="00DA7D92" w:rsidRDefault="00327519" w:rsidP="00DA7D92">
      <w:pPr>
        <w:pStyle w:val="Default"/>
        <w:spacing w:before="144"/>
        <w:ind w:left="720"/>
        <w:jc w:val="both"/>
        <w:rPr>
          <w:sz w:val="18"/>
          <w:szCs w:val="18"/>
        </w:rPr>
      </w:pPr>
    </w:p>
    <w:p w14:paraId="3991E8BA" w14:textId="77777777" w:rsidR="0007561B" w:rsidRDefault="0007561B" w:rsidP="0007561B">
      <w:pPr>
        <w:pStyle w:val="Note-Heading"/>
      </w:pPr>
      <w:r>
        <w:lastRenderedPageBreak/>
        <w:t>9.</w:t>
      </w:r>
      <w:r>
        <w:tab/>
        <w:t>Share capital (continued):</w:t>
      </w:r>
    </w:p>
    <w:p w14:paraId="2D99FA4B" w14:textId="77777777" w:rsidR="00FA3FE3" w:rsidRPr="00D24E75" w:rsidRDefault="00FA3FE3" w:rsidP="005776E1">
      <w:pPr>
        <w:widowControl/>
        <w:spacing w:line="184" w:lineRule="exact"/>
        <w:ind w:right="201"/>
        <w:rPr>
          <w:color w:val="auto"/>
        </w:rPr>
      </w:pPr>
    </w:p>
    <w:p w14:paraId="0723D71B" w14:textId="77777777" w:rsidR="00072E7A" w:rsidRDefault="001A2907" w:rsidP="0080015A">
      <w:pPr>
        <w:pStyle w:val="Note-Sub-heading"/>
      </w:pPr>
      <w:r>
        <w:t>(c)</w:t>
      </w:r>
      <w:r>
        <w:tab/>
        <w:t>Stock option plan</w:t>
      </w:r>
    </w:p>
    <w:p w14:paraId="04FFE1B5" w14:textId="34C20501" w:rsidR="00072E7A" w:rsidRDefault="001A2907">
      <w:pPr>
        <w:pStyle w:val="Note-Sub-normal"/>
      </w:pPr>
      <w:r>
        <w:t>The Company has an equity</w:t>
      </w:r>
      <w:r>
        <w:noBreakHyphen/>
        <w:t>settled Stock Option Plan ("Plan") in place for employees, directors, officers and consultants of the Company which is administered by the Board of Directors.  The number of common shares reserved for issuance of stock options is limited to a maximum of 10% of the issued and outstanding shares of the Company at any</w:t>
      </w:r>
      <w:r w:rsidR="00EF3BAA">
        <w:t xml:space="preserve"> one time.  </w:t>
      </w:r>
      <w:r w:rsidR="00EF3BAA" w:rsidRPr="000E265A">
        <w:t xml:space="preserve">At </w:t>
      </w:r>
      <w:r w:rsidR="006F7F01" w:rsidRPr="000E265A">
        <w:t>June 30</w:t>
      </w:r>
      <w:r w:rsidR="004D6131" w:rsidRPr="000E265A">
        <w:t>, 201</w:t>
      </w:r>
      <w:r w:rsidR="00053B3D" w:rsidRPr="000E265A">
        <w:t>7</w:t>
      </w:r>
      <w:r w:rsidRPr="000E265A">
        <w:t xml:space="preserve">, an aggregate maximum </w:t>
      </w:r>
      <w:r w:rsidR="006D73A3" w:rsidRPr="000E265A">
        <w:t xml:space="preserve">of </w:t>
      </w:r>
      <w:r w:rsidR="006B742B" w:rsidRPr="000E265A">
        <w:t>4,560,854</w:t>
      </w:r>
      <w:r w:rsidR="006D73A3" w:rsidRPr="000E265A">
        <w:t xml:space="preserve"> </w:t>
      </w:r>
      <w:r w:rsidR="004D6131" w:rsidRPr="000E265A">
        <w:t>(December 31, 201</w:t>
      </w:r>
      <w:r w:rsidR="006B742B" w:rsidRPr="000E265A">
        <w:t>6</w:t>
      </w:r>
      <w:r w:rsidR="004D6131" w:rsidRPr="000E265A">
        <w:t xml:space="preserve"> – </w:t>
      </w:r>
      <w:r w:rsidR="00BE7D2A" w:rsidRPr="000E265A">
        <w:t>4,552,</w:t>
      </w:r>
      <w:r w:rsidR="00ED64FC">
        <w:t>828</w:t>
      </w:r>
      <w:r w:rsidRPr="000E265A">
        <w:t xml:space="preserve">) common voting shares are available to be purchased under the Plan and </w:t>
      </w:r>
      <w:r w:rsidR="000E265A" w:rsidRPr="000E265A">
        <w:t xml:space="preserve">1,999,854 </w:t>
      </w:r>
      <w:r w:rsidR="004D6131" w:rsidRPr="000E265A">
        <w:t>(December</w:t>
      </w:r>
      <w:r w:rsidR="004D6131">
        <w:t xml:space="preserve"> 31, 201</w:t>
      </w:r>
      <w:r w:rsidR="006B742B">
        <w:t>6</w:t>
      </w:r>
      <w:r w:rsidR="008E4285">
        <w:t xml:space="preserve"> </w:t>
      </w:r>
      <w:r w:rsidR="004D6131">
        <w:t>–</w:t>
      </w:r>
      <w:r w:rsidR="008E4285">
        <w:t xml:space="preserve"> </w:t>
      </w:r>
      <w:r w:rsidR="006B742B">
        <w:t>1,297,328</w:t>
      </w:r>
      <w:r>
        <w:t>) common share options remain available to be issued under the Plan.</w:t>
      </w:r>
    </w:p>
    <w:p w14:paraId="1590C85E" w14:textId="5EEEC1C9" w:rsidR="006B742B" w:rsidRDefault="001A2907" w:rsidP="00327519">
      <w:pPr>
        <w:pStyle w:val="Note-Sub-normal"/>
      </w:pPr>
      <w:r>
        <w:t>Share options issued to employees, directors and officers of the Company under the Plan expire fiv</w:t>
      </w:r>
      <w:r w:rsidR="003B5014">
        <w:t>e years from the grant date.</w:t>
      </w:r>
      <w:r>
        <w:t xml:space="preserve"> </w:t>
      </w:r>
      <w:r w:rsidR="003B5014">
        <w:t xml:space="preserve"> </w:t>
      </w:r>
      <w:r w:rsidRPr="000E265A">
        <w:t>Share options issued to non</w:t>
      </w:r>
      <w:r w:rsidRPr="000E265A">
        <w:noBreakHyphen/>
        <w:t>employee consultants expire five years from grant and generally vest over twenty</w:t>
      </w:r>
      <w:r w:rsidRPr="000E265A">
        <w:noBreakHyphen/>
        <w:t>four months.  The</w:t>
      </w:r>
      <w:r>
        <w:t xml:space="preserve"> attributed exercise price of the grant per the Plan cannot be less than the closing price per common</w:t>
      </w:r>
      <w:r w:rsidR="00234A12">
        <w:t xml:space="preserve"> share on the date of the grant</w:t>
      </w:r>
      <w:r w:rsidR="000400DC">
        <w:t>.</w:t>
      </w:r>
    </w:p>
    <w:p w14:paraId="6E638B19" w14:textId="77777777" w:rsidR="006B742B" w:rsidRPr="00691331" w:rsidRDefault="006B742B" w:rsidP="006B742B">
      <w:pPr>
        <w:pStyle w:val="Note-Sub-normal"/>
        <w:rPr>
          <w:spacing w:val="-2"/>
        </w:rPr>
      </w:pPr>
      <w:r w:rsidRPr="00691331">
        <w:rPr>
          <w:spacing w:val="-2"/>
        </w:rPr>
        <w:t>Effective on all stock options issued after October 1, 2015;</w:t>
      </w:r>
    </w:p>
    <w:p w14:paraId="7BDC2CD3" w14:textId="77777777" w:rsidR="006B742B" w:rsidRPr="00691331" w:rsidRDefault="006B742B" w:rsidP="006B742B">
      <w:pPr>
        <w:pStyle w:val="Note-Sub-normal"/>
        <w:numPr>
          <w:ilvl w:val="0"/>
          <w:numId w:val="23"/>
        </w:numPr>
        <w:rPr>
          <w:spacing w:val="-2"/>
        </w:rPr>
      </w:pPr>
      <w:r w:rsidRPr="00691331">
        <w:rPr>
          <w:spacing w:val="-2"/>
        </w:rPr>
        <w:t>The exercise price shall</w:t>
      </w:r>
      <w:r>
        <w:rPr>
          <w:spacing w:val="-2"/>
        </w:rPr>
        <w:t>, at a minimum,</w:t>
      </w:r>
      <w:r w:rsidRPr="00691331">
        <w:rPr>
          <w:spacing w:val="-2"/>
        </w:rPr>
        <w:t xml:space="preserve"> be equal to the fair market value of the Company’s common stock on the grant date (TSXV share price);</w:t>
      </w:r>
    </w:p>
    <w:p w14:paraId="48B08679" w14:textId="77777777" w:rsidR="006B742B" w:rsidRPr="00691331" w:rsidRDefault="006B742B" w:rsidP="006B742B">
      <w:pPr>
        <w:pStyle w:val="Note-Sub-normal"/>
        <w:numPr>
          <w:ilvl w:val="0"/>
          <w:numId w:val="23"/>
        </w:numPr>
        <w:rPr>
          <w:spacing w:val="-2"/>
        </w:rPr>
      </w:pPr>
      <w:r w:rsidRPr="00691331">
        <w:rPr>
          <w:spacing w:val="-2"/>
        </w:rPr>
        <w:t>Each stock option shall vest in 3 equal annual installments, beginning on the grant date;</w:t>
      </w:r>
    </w:p>
    <w:p w14:paraId="3723B87C" w14:textId="77777777" w:rsidR="006B742B" w:rsidRPr="00214DD7" w:rsidRDefault="006B742B" w:rsidP="006B742B">
      <w:pPr>
        <w:pStyle w:val="Note-Sub-normal"/>
        <w:numPr>
          <w:ilvl w:val="0"/>
          <w:numId w:val="23"/>
        </w:numPr>
        <w:rPr>
          <w:spacing w:val="-2"/>
        </w:rPr>
      </w:pPr>
      <w:r w:rsidRPr="00691331">
        <w:rPr>
          <w:spacing w:val="-2"/>
        </w:rPr>
        <w:t>The options shall expire in 5 years from the stock option vesting date;</w:t>
      </w:r>
    </w:p>
    <w:p w14:paraId="70692F6E" w14:textId="77777777" w:rsidR="006B742B" w:rsidRPr="00691331" w:rsidRDefault="006B742B" w:rsidP="006B742B">
      <w:pPr>
        <w:pStyle w:val="Note-Sub-normal"/>
        <w:numPr>
          <w:ilvl w:val="0"/>
          <w:numId w:val="23"/>
        </w:numPr>
        <w:rPr>
          <w:spacing w:val="-2"/>
        </w:rPr>
      </w:pPr>
      <w:r w:rsidRPr="00691331">
        <w:rPr>
          <w:spacing w:val="-2"/>
        </w:rPr>
        <w:t>Annual grants shall occur on or before March 31st of the year. Grants to Executive officers shall be made by the Compensation Committee. Grants to staff shall be made by Authorized Officers (the CEO and CFO) on the first day of employment. The Authorized Officers may not approve any</w:t>
      </w:r>
      <w:r w:rsidR="00ED3F49">
        <w:rPr>
          <w:spacing w:val="-2"/>
        </w:rPr>
        <w:t xml:space="preserve"> stock option awards exceeding 1</w:t>
      </w:r>
      <w:r w:rsidRPr="00691331">
        <w:rPr>
          <w:spacing w:val="-2"/>
        </w:rPr>
        <w:t>00,000 shares to any staff member. Grants to Non-Management Directors automatically receive a grant in the amount of the last previous grant to directors. Management directors are not eligible for Non-Managemen</w:t>
      </w:r>
      <w:r>
        <w:rPr>
          <w:spacing w:val="-2"/>
        </w:rPr>
        <w:t>t Directors stock option grants;</w:t>
      </w:r>
    </w:p>
    <w:p w14:paraId="57367D59" w14:textId="37D5C91E" w:rsidR="006B742B" w:rsidRPr="00327519" w:rsidRDefault="006B742B" w:rsidP="00327519">
      <w:pPr>
        <w:pStyle w:val="Note-Sub-normal"/>
        <w:numPr>
          <w:ilvl w:val="0"/>
          <w:numId w:val="23"/>
        </w:numPr>
        <w:rPr>
          <w:spacing w:val="-2"/>
        </w:rPr>
      </w:pPr>
      <w:r w:rsidRPr="00691331">
        <w:rPr>
          <w:spacing w:val="-2"/>
        </w:rPr>
        <w:t xml:space="preserve">All exceptions must be approved by the Compensation Committee. </w:t>
      </w:r>
    </w:p>
    <w:p w14:paraId="4E3539BE" w14:textId="4140871B" w:rsidR="006B742B" w:rsidRDefault="006B742B" w:rsidP="007F4020">
      <w:pPr>
        <w:pStyle w:val="Note-Sub-normal"/>
        <w:ind w:left="0"/>
      </w:pPr>
    </w:p>
    <w:p w14:paraId="638BDDB0" w14:textId="13984A3A" w:rsidR="00327519" w:rsidRDefault="00327519" w:rsidP="007F4020">
      <w:pPr>
        <w:pStyle w:val="Note-Sub-normal"/>
        <w:ind w:left="0"/>
      </w:pPr>
    </w:p>
    <w:p w14:paraId="54645D53" w14:textId="7FC0B737" w:rsidR="00327519" w:rsidRDefault="00327519" w:rsidP="007F4020">
      <w:pPr>
        <w:pStyle w:val="Note-Sub-normal"/>
        <w:ind w:left="0"/>
      </w:pPr>
    </w:p>
    <w:p w14:paraId="1F41BFC7" w14:textId="4FE3F5CF" w:rsidR="00327519" w:rsidRDefault="00327519" w:rsidP="007F4020">
      <w:pPr>
        <w:pStyle w:val="Note-Sub-normal"/>
        <w:ind w:left="0"/>
      </w:pPr>
    </w:p>
    <w:p w14:paraId="7759EA3A" w14:textId="536027D1" w:rsidR="00327519" w:rsidRDefault="00327519" w:rsidP="007F4020">
      <w:pPr>
        <w:pStyle w:val="Note-Sub-normal"/>
        <w:ind w:left="0"/>
      </w:pPr>
    </w:p>
    <w:p w14:paraId="2AE44E00" w14:textId="313A6181" w:rsidR="00327519" w:rsidRDefault="00327519" w:rsidP="007F4020">
      <w:pPr>
        <w:pStyle w:val="Note-Sub-normal"/>
        <w:ind w:left="0"/>
      </w:pPr>
    </w:p>
    <w:p w14:paraId="27BB51EE" w14:textId="570E988E" w:rsidR="00327519" w:rsidRDefault="00327519" w:rsidP="007F4020">
      <w:pPr>
        <w:pStyle w:val="Note-Sub-normal"/>
        <w:ind w:left="0"/>
      </w:pPr>
    </w:p>
    <w:p w14:paraId="65FF6842" w14:textId="14C32A9B" w:rsidR="00327519" w:rsidRDefault="00327519" w:rsidP="007F4020">
      <w:pPr>
        <w:pStyle w:val="Note-Sub-normal"/>
        <w:ind w:left="0"/>
      </w:pPr>
    </w:p>
    <w:p w14:paraId="1E462B4B" w14:textId="51DFE99C" w:rsidR="00327519" w:rsidRDefault="00327519" w:rsidP="007F4020">
      <w:pPr>
        <w:pStyle w:val="Note-Sub-normal"/>
        <w:ind w:left="0"/>
      </w:pPr>
    </w:p>
    <w:p w14:paraId="1611ED00" w14:textId="68604FFC" w:rsidR="00327519" w:rsidRDefault="00327519" w:rsidP="007F4020">
      <w:pPr>
        <w:pStyle w:val="Note-Sub-normal"/>
        <w:ind w:left="0"/>
      </w:pPr>
    </w:p>
    <w:p w14:paraId="3DAB71AA" w14:textId="3C114DDF" w:rsidR="00327519" w:rsidRDefault="00327519" w:rsidP="007F4020">
      <w:pPr>
        <w:pStyle w:val="Note-Sub-normal"/>
        <w:ind w:left="0"/>
      </w:pPr>
    </w:p>
    <w:p w14:paraId="7EE52678" w14:textId="751C9C21" w:rsidR="0019433F" w:rsidRDefault="0019433F" w:rsidP="007F4020">
      <w:pPr>
        <w:pStyle w:val="Note-Sub-normal"/>
        <w:ind w:left="0"/>
      </w:pPr>
    </w:p>
    <w:p w14:paraId="659E9319" w14:textId="7D06E13B" w:rsidR="0019433F" w:rsidRDefault="0019433F" w:rsidP="007F4020">
      <w:pPr>
        <w:pStyle w:val="Note-Sub-normal"/>
        <w:ind w:left="0"/>
      </w:pPr>
    </w:p>
    <w:p w14:paraId="0BFB9A1C" w14:textId="487A6670" w:rsidR="0019433F" w:rsidRDefault="0019433F" w:rsidP="007F4020">
      <w:pPr>
        <w:pStyle w:val="Note-Sub-normal"/>
        <w:ind w:left="0"/>
      </w:pPr>
    </w:p>
    <w:p w14:paraId="1AB8C2D0" w14:textId="466AEB8C" w:rsidR="0019433F" w:rsidRDefault="0019433F" w:rsidP="007F4020">
      <w:pPr>
        <w:pStyle w:val="Note-Sub-normal"/>
        <w:ind w:left="0"/>
      </w:pPr>
    </w:p>
    <w:p w14:paraId="0EDB4622" w14:textId="77777777" w:rsidR="0019433F" w:rsidRDefault="0019433F" w:rsidP="007F4020">
      <w:pPr>
        <w:pStyle w:val="Note-Sub-normal"/>
        <w:ind w:left="0"/>
      </w:pPr>
    </w:p>
    <w:p w14:paraId="6AF50443" w14:textId="77777777" w:rsidR="006B742B" w:rsidRPr="00C417E7" w:rsidRDefault="006B742B" w:rsidP="00C417E7">
      <w:pPr>
        <w:pStyle w:val="Note-Normal"/>
        <w:ind w:left="0"/>
        <w:rPr>
          <w:b/>
        </w:rPr>
      </w:pPr>
      <w:r>
        <w:rPr>
          <w:b/>
        </w:rPr>
        <w:lastRenderedPageBreak/>
        <w:t>9</w:t>
      </w:r>
      <w:r w:rsidRPr="00E42AA5">
        <w:rPr>
          <w:b/>
        </w:rPr>
        <w:t>.  Share capital (continued):</w:t>
      </w:r>
    </w:p>
    <w:p w14:paraId="54B1812A" w14:textId="02B9FC88" w:rsidR="00072E7A" w:rsidRDefault="001A2907">
      <w:pPr>
        <w:pStyle w:val="Note-Sub-normal"/>
      </w:pPr>
      <w:r>
        <w:t>Changes in the number of options outstanding during t</w:t>
      </w:r>
      <w:r w:rsidR="006F7F01">
        <w:t>he period ended June 30</w:t>
      </w:r>
      <w:r w:rsidR="00FB7DA2">
        <w:t>, 201</w:t>
      </w:r>
      <w:r w:rsidR="006B742B">
        <w:t>7</w:t>
      </w:r>
      <w:r w:rsidR="004D6131">
        <w:t xml:space="preserve"> and 201</w:t>
      </w:r>
      <w:r w:rsidR="006B742B">
        <w:t>6</w:t>
      </w:r>
      <w:r>
        <w:t xml:space="preserve"> are as follows:</w:t>
      </w:r>
    </w:p>
    <w:p w14:paraId="490E1731" w14:textId="3C765AB3" w:rsidR="00E67445" w:rsidRDefault="00042615" w:rsidP="00511AEC">
      <w:pPr>
        <w:pStyle w:val="Note-Sub-normal"/>
        <w:ind w:left="0"/>
      </w:pPr>
      <w:r>
        <w:tab/>
      </w:r>
      <w:r w:rsidR="00CD03D3" w:rsidRPr="00CD03D3">
        <w:rPr>
          <w:noProof/>
        </w:rPr>
        <w:drawing>
          <wp:inline distT="0" distB="0" distL="0" distR="0" wp14:anchorId="5777AF74" wp14:editId="69A00F43">
            <wp:extent cx="5541645" cy="448881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41645" cy="4488815"/>
                    </a:xfrm>
                    <a:prstGeom prst="rect">
                      <a:avLst/>
                    </a:prstGeom>
                    <a:noFill/>
                    <a:ln>
                      <a:noFill/>
                    </a:ln>
                  </pic:spPr>
                </pic:pic>
              </a:graphicData>
            </a:graphic>
          </wp:inline>
        </w:drawing>
      </w:r>
    </w:p>
    <w:p w14:paraId="3C9C9D80" w14:textId="4CC6E01E" w:rsidR="00BA2B7A" w:rsidRDefault="00BA2B7A" w:rsidP="00323285">
      <w:pPr>
        <w:pStyle w:val="Note-Sub-normal"/>
      </w:pPr>
      <w:r w:rsidRPr="00BA2B7A">
        <w:t>For</w:t>
      </w:r>
      <w:r w:rsidR="006F7F01">
        <w:t xml:space="preserve"> the period ended June 30</w:t>
      </w:r>
      <w:r>
        <w:t>, 2017</w:t>
      </w:r>
      <w:r w:rsidRPr="00BA2B7A">
        <w:t>, the Company recorded share op</w:t>
      </w:r>
      <w:r>
        <w:t xml:space="preserve">tion compensation </w:t>
      </w:r>
      <w:r w:rsidRPr="000E265A">
        <w:t xml:space="preserve">expense of </w:t>
      </w:r>
      <w:r w:rsidR="000E265A" w:rsidRPr="000E265A">
        <w:t>$84</w:t>
      </w:r>
      <w:r w:rsidR="000E265A">
        <w:t>,210</w:t>
      </w:r>
      <w:r w:rsidR="00E33075">
        <w:t xml:space="preserve"> (June 30, 2016 $251,382</w:t>
      </w:r>
      <w:r w:rsidRPr="00BA2B7A">
        <w:t xml:space="preserve">) with a corresponding credit to contributed surplus. The share option compensation expense for options issued to employees was determined based on the fair value of the options at the date of measurement using the Black-Scholes option pricing model. </w:t>
      </w:r>
    </w:p>
    <w:p w14:paraId="5F530426" w14:textId="77777777" w:rsidR="00C303FF" w:rsidRDefault="001A2907" w:rsidP="00323285">
      <w:pPr>
        <w:pStyle w:val="Note-Sub-normal"/>
      </w:pPr>
      <w:r w:rsidRPr="00E67445">
        <w:t>For awards that vest at the end of a vesting period, compensation cost is recognized on a straight</w:t>
      </w:r>
      <w:r w:rsidRPr="00E67445">
        <w:noBreakHyphen/>
        <w:t>line basis over the period of service.  For awards subject to graded vesting, each instalment is treated as a separate award with separate fair value and a separate vesting period.</w:t>
      </w:r>
    </w:p>
    <w:p w14:paraId="0ED31F0B" w14:textId="77777777" w:rsidR="00072E7A" w:rsidRPr="00E67445" w:rsidRDefault="001A2907" w:rsidP="00E67445">
      <w:pPr>
        <w:pStyle w:val="Note-Sub-normal"/>
      </w:pPr>
      <w:r w:rsidRPr="00E67445">
        <w:t>The share option expense of stock</w:t>
      </w:r>
      <w:r w:rsidRPr="00E67445">
        <w:noBreakHyphen/>
        <w:t>based payments to non</w:t>
      </w:r>
      <w:r w:rsidRPr="00E67445">
        <w:noBreakHyphen/>
        <w:t>employees was determined based on the fair value of the services received and recognized over the period in which the related service is received.</w:t>
      </w:r>
    </w:p>
    <w:p w14:paraId="545A986D" w14:textId="77777777" w:rsidR="00323285" w:rsidRDefault="001A2907" w:rsidP="001A7768">
      <w:pPr>
        <w:pStyle w:val="Note-Sub-normal"/>
      </w:pPr>
      <w:r w:rsidRPr="00E67445">
        <w:t>The expected life of the share options is based on historical data and current expectations and is not necessarily indicative of exercise patterns that may occur.  Volatility is determined based on the five</w:t>
      </w:r>
      <w:r w:rsidRPr="00E67445">
        <w:noBreakHyphen/>
        <w:t xml:space="preserve">year share price history.  The expected volatility reflects the assumption that the historical volatility over a period similar to the life of the options is indicative of future trends, which may also not necessarily be the actual outcome. </w:t>
      </w:r>
    </w:p>
    <w:p w14:paraId="3296669D" w14:textId="42BFDCC9" w:rsidR="00BA2B7A" w:rsidRDefault="00BA2B7A" w:rsidP="00A55CD7">
      <w:pPr>
        <w:pStyle w:val="Note-Sub-heading"/>
      </w:pPr>
    </w:p>
    <w:p w14:paraId="5585E65B" w14:textId="18819932" w:rsidR="007F4020" w:rsidRDefault="007F4020" w:rsidP="00A55CD7">
      <w:pPr>
        <w:pStyle w:val="Note-Sub-heading"/>
      </w:pPr>
    </w:p>
    <w:p w14:paraId="3EDED148" w14:textId="77777777" w:rsidR="00327519" w:rsidRDefault="00327519" w:rsidP="00A55CD7">
      <w:pPr>
        <w:pStyle w:val="Note-Sub-heading"/>
      </w:pPr>
    </w:p>
    <w:p w14:paraId="4EEB66C8" w14:textId="77777777" w:rsidR="00BA2B7A" w:rsidRPr="00BA2B7A" w:rsidRDefault="00BA2B7A" w:rsidP="00BA2B7A">
      <w:pPr>
        <w:pStyle w:val="Note-Normal"/>
        <w:ind w:left="0"/>
        <w:rPr>
          <w:b/>
        </w:rPr>
      </w:pPr>
      <w:r>
        <w:rPr>
          <w:b/>
        </w:rPr>
        <w:t>9</w:t>
      </w:r>
      <w:r w:rsidRPr="00E42AA5">
        <w:rPr>
          <w:b/>
        </w:rPr>
        <w:t>.  Share capital (continued):</w:t>
      </w:r>
    </w:p>
    <w:p w14:paraId="37D2E704" w14:textId="3FDF670B" w:rsidR="00A55CD7" w:rsidRDefault="00A55CD7" w:rsidP="00A55CD7">
      <w:pPr>
        <w:pStyle w:val="Note-Sub-heading"/>
      </w:pPr>
      <w:r>
        <w:t>(d)</w:t>
      </w:r>
      <w:r>
        <w:tab/>
        <w:t>Warrants</w:t>
      </w:r>
    </w:p>
    <w:p w14:paraId="30F54E8F" w14:textId="02555A58" w:rsidR="00F04A67" w:rsidRDefault="00A55CD7" w:rsidP="00501394">
      <w:pPr>
        <w:pStyle w:val="Note-Sub-normal"/>
      </w:pPr>
      <w:r>
        <w:t>Changes in the number of warrants outstanding during t</w:t>
      </w:r>
      <w:r w:rsidR="0003590D">
        <w:t>he period</w:t>
      </w:r>
      <w:r w:rsidR="001426BA">
        <w:t xml:space="preserve"> ended </w:t>
      </w:r>
      <w:r w:rsidR="00DE5191">
        <w:t>June 30</w:t>
      </w:r>
      <w:r w:rsidR="008E7ADE">
        <w:t>, 201</w:t>
      </w:r>
      <w:r w:rsidR="00BA2B7A">
        <w:t>7 and 2016</w:t>
      </w:r>
      <w:r>
        <w:t xml:space="preserve"> are as follows:</w:t>
      </w:r>
    </w:p>
    <w:p w14:paraId="4DD39013" w14:textId="6D5AD5FB" w:rsidR="00953C9E" w:rsidRDefault="00DA7D92" w:rsidP="00C303FF">
      <w:pPr>
        <w:pStyle w:val="Note-Sub-normal"/>
        <w:ind w:left="0"/>
      </w:pPr>
      <w:r>
        <w:tab/>
      </w:r>
      <w:r w:rsidR="006E4730" w:rsidRPr="006E4730">
        <w:rPr>
          <w:noProof/>
        </w:rPr>
        <w:drawing>
          <wp:inline distT="0" distB="0" distL="0" distR="0" wp14:anchorId="773D89DB" wp14:editId="0F532F7C">
            <wp:extent cx="6492240" cy="2735465"/>
            <wp:effectExtent l="0" t="0" r="381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92240" cy="2735465"/>
                    </a:xfrm>
                    <a:prstGeom prst="rect">
                      <a:avLst/>
                    </a:prstGeom>
                    <a:noFill/>
                    <a:ln>
                      <a:noFill/>
                    </a:ln>
                  </pic:spPr>
                </pic:pic>
              </a:graphicData>
            </a:graphic>
          </wp:inline>
        </w:drawing>
      </w:r>
    </w:p>
    <w:p w14:paraId="484B17B9" w14:textId="77777777" w:rsidR="00732EB9" w:rsidRPr="00AD2564" w:rsidRDefault="001A2907" w:rsidP="00AD2564">
      <w:pPr>
        <w:pStyle w:val="Note-Sub-normal"/>
      </w:pPr>
      <w:r w:rsidRPr="00E67445">
        <w:t xml:space="preserve">The </w:t>
      </w:r>
      <w:r w:rsidR="00067991" w:rsidRPr="00E67445">
        <w:t xml:space="preserve">relative </w:t>
      </w:r>
      <w:r w:rsidRPr="00E67445">
        <w:t>fair value of warrants was determined at the date of measurement using the Black Scholes option pricing mode</w:t>
      </w:r>
      <w:r w:rsidR="00323285">
        <w:t>l.</w:t>
      </w:r>
    </w:p>
    <w:p w14:paraId="03D9E07D" w14:textId="77777777" w:rsidR="00072E7A" w:rsidRDefault="00A141B2">
      <w:pPr>
        <w:pStyle w:val="Note-Sub-heading"/>
      </w:pPr>
      <w:r>
        <w:t>(e</w:t>
      </w:r>
      <w:r w:rsidR="00F41C96">
        <w:t>)</w:t>
      </w:r>
      <w:r w:rsidR="00F41C96">
        <w:tab/>
      </w:r>
      <w:r w:rsidR="001A2907">
        <w:t>Per share amounts</w:t>
      </w:r>
    </w:p>
    <w:p w14:paraId="5885CB70" w14:textId="534045A3" w:rsidR="00DD01C3" w:rsidRDefault="001A2907" w:rsidP="0007561B">
      <w:pPr>
        <w:pStyle w:val="Note-Sub-normal"/>
      </w:pPr>
      <w:r>
        <w:t xml:space="preserve">The weighted average number of common voting shares outstanding for the </w:t>
      </w:r>
      <w:r w:rsidR="00937A18">
        <w:t xml:space="preserve">period ended </w:t>
      </w:r>
      <w:r w:rsidR="00DE5191">
        <w:t>June 30</w:t>
      </w:r>
      <w:r w:rsidR="00CA5ABB">
        <w:t>, 201</w:t>
      </w:r>
      <w:r w:rsidR="00AD2564">
        <w:t>7</w:t>
      </w:r>
      <w:r w:rsidR="00EC51D8">
        <w:t xml:space="preserve"> and 201</w:t>
      </w:r>
      <w:r w:rsidR="00AD2564">
        <w:t>6</w:t>
      </w:r>
      <w:r>
        <w:t xml:space="preserve"> was </w:t>
      </w:r>
      <w:r w:rsidR="00436A78">
        <w:t>45,528,288</w:t>
      </w:r>
      <w:r w:rsidR="008417F4" w:rsidRPr="0037419D">
        <w:t xml:space="preserve"> </w:t>
      </w:r>
      <w:r w:rsidR="00953C9E" w:rsidRPr="0037419D">
        <w:t xml:space="preserve">and </w:t>
      </w:r>
      <w:r w:rsidR="000E265A" w:rsidRPr="0037419D">
        <w:t>29</w:t>
      </w:r>
      <w:r w:rsidR="000E265A">
        <w:t>,815,180</w:t>
      </w:r>
      <w:r w:rsidR="00BE7D2A">
        <w:t xml:space="preserve">, respectively. </w:t>
      </w:r>
      <w:r>
        <w:t>The dilution created by options and warrants has not been reflected in the per share amounts as the effect would be anti</w:t>
      </w:r>
      <w:r>
        <w:noBreakHyphen/>
        <w:t>dilutive.</w:t>
      </w:r>
    </w:p>
    <w:p w14:paraId="1FDA7217" w14:textId="77777777" w:rsidR="00C303FF" w:rsidRDefault="006703BA">
      <w:pPr>
        <w:pStyle w:val="Note-Heading"/>
      </w:pPr>
      <w:r>
        <w:t>1</w:t>
      </w:r>
      <w:r w:rsidR="002A56EB">
        <w:t>0</w:t>
      </w:r>
      <w:r>
        <w:t xml:space="preserve">. </w:t>
      </w:r>
      <w:r w:rsidR="001A2907">
        <w:t>Commitments and contingencies:</w:t>
      </w:r>
    </w:p>
    <w:p w14:paraId="1A578D23" w14:textId="77777777" w:rsidR="00072E7A" w:rsidRPr="00C93771" w:rsidRDefault="001A2907">
      <w:pPr>
        <w:pStyle w:val="Note-Sub-heading"/>
      </w:pPr>
      <w:r>
        <w:t>(a)</w:t>
      </w:r>
      <w:r>
        <w:tab/>
      </w:r>
      <w:r w:rsidRPr="00C93771">
        <w:t>Commitments</w:t>
      </w:r>
    </w:p>
    <w:p w14:paraId="2BCE34B5" w14:textId="1878E489" w:rsidR="00072E7A" w:rsidRPr="00E67445" w:rsidRDefault="001A2907" w:rsidP="00E67445">
      <w:pPr>
        <w:pStyle w:val="Note-Sub-normal"/>
      </w:pPr>
      <w:r w:rsidRPr="00E67445">
        <w:t>As at</w:t>
      </w:r>
      <w:r w:rsidR="00B1615A">
        <w:t xml:space="preserve"> June 30</w:t>
      </w:r>
      <w:r w:rsidR="001354F5">
        <w:t>, 201</w:t>
      </w:r>
      <w:r w:rsidR="008417F4">
        <w:t>7</w:t>
      </w:r>
      <w:r w:rsidRPr="00E67445">
        <w:t xml:space="preserve"> and in the normal course of business, the Company has obligations to make future payments, representing contracts and other commitments that are known and committed.</w:t>
      </w:r>
    </w:p>
    <w:p w14:paraId="20C8D80D" w14:textId="1C6E1D91" w:rsidR="00072E7A" w:rsidRPr="008417F4" w:rsidRDefault="001A2907" w:rsidP="00E67445">
      <w:pPr>
        <w:pStyle w:val="Note-Sub-normal"/>
      </w:pPr>
      <w:r w:rsidRPr="008417F4">
        <w:t xml:space="preserve">Contractual obligation payments due </w:t>
      </w:r>
      <w:r w:rsidR="00937A18" w:rsidRPr="008417F4">
        <w:t>b</w:t>
      </w:r>
      <w:r w:rsidR="00B1615A">
        <w:t>y fiscal period ending June 30</w:t>
      </w:r>
      <w:r w:rsidRPr="008417F4">
        <w:t>:</w:t>
      </w:r>
    </w:p>
    <w:p w14:paraId="37712091" w14:textId="0A52C30E" w:rsidR="008417F4" w:rsidRDefault="00805AB4" w:rsidP="00805AB4">
      <w:pPr>
        <w:pStyle w:val="Note-Normal"/>
        <w:jc w:val="left"/>
      </w:pPr>
      <w:r w:rsidRPr="00805AB4">
        <w:rPr>
          <w:noProof/>
        </w:rPr>
        <w:drawing>
          <wp:inline distT="0" distB="0" distL="0" distR="0" wp14:anchorId="1FA3E2A2" wp14:editId="29491EAE">
            <wp:extent cx="5632450" cy="12827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2450" cy="1282700"/>
                    </a:xfrm>
                    <a:prstGeom prst="rect">
                      <a:avLst/>
                    </a:prstGeom>
                    <a:noFill/>
                    <a:ln>
                      <a:noFill/>
                    </a:ln>
                  </pic:spPr>
                </pic:pic>
              </a:graphicData>
            </a:graphic>
          </wp:inline>
        </w:drawing>
      </w:r>
    </w:p>
    <w:p w14:paraId="360A5366" w14:textId="2378E2DA" w:rsidR="007F4020" w:rsidRPr="00327519" w:rsidRDefault="001A2907" w:rsidP="00327519">
      <w:pPr>
        <w:pStyle w:val="Note-Sub-normal"/>
      </w:pPr>
      <w:r w:rsidRPr="00E67445">
        <w:lastRenderedPageBreak/>
        <w:t>The Company has no planned capital commitments for the coming year.</w:t>
      </w:r>
    </w:p>
    <w:p w14:paraId="01CD63A7" w14:textId="7EA25E58" w:rsidR="00FE47F8" w:rsidRPr="00FE47F8" w:rsidRDefault="00FE47F8" w:rsidP="00FE47F8">
      <w:pPr>
        <w:spacing w:before="144"/>
        <w:ind w:left="709"/>
        <w:jc w:val="both"/>
        <w:rPr>
          <w:rFonts w:eastAsia="Times New Roman"/>
          <w:spacing w:val="-2"/>
        </w:rPr>
      </w:pPr>
      <w:r w:rsidRPr="00FE47F8">
        <w:rPr>
          <w:rFonts w:eastAsia="Times New Roman"/>
          <w:spacing w:val="-2"/>
        </w:rPr>
        <w:t>The Company holds a worldwide exclusive right to Competence Stimulating Peptide (CSP) technology from the University of Toronto Innovations Foundation (UTIF). In consideration for the right, the Company will pay UTIF a royalty of a stipulated percentage of the net sales, if any, of the licensed products. If the Company sublicenses any rights to a third party, the Company will pay UTIF a percentage of a sublicense fee or sublicense royalty fees. The Company does not expect to make royalty payments under this agreement in fiscal 2017 and cannot predict when such royalties will become payable, if at all.</w:t>
      </w:r>
    </w:p>
    <w:p w14:paraId="3F74A0A9" w14:textId="77777777" w:rsidR="00FE47F8" w:rsidRPr="00FE47F8" w:rsidRDefault="00FE47F8" w:rsidP="00FE47F8">
      <w:pPr>
        <w:spacing w:before="144"/>
        <w:ind w:left="709"/>
        <w:jc w:val="both"/>
        <w:rPr>
          <w:rFonts w:eastAsia="Times New Roman"/>
          <w:spacing w:val="-2"/>
        </w:rPr>
      </w:pPr>
      <w:r w:rsidRPr="00FE47F8">
        <w:rPr>
          <w:rFonts w:eastAsia="Times New Roman"/>
          <w:spacing w:val="-2"/>
        </w:rPr>
        <w:t>Also, the Company holds a worldwide exclusive license to DispersinB® enzyme from the University of Medicine and Dentistry of New Jersey (UMDNJ). In consideration for the right, the Company will pay a royalty to UMDNJ of a stipulated percentage of the net sales, if any, of the licensed products. If the Company sublicenses any rights to a third party, the Company will pay a percentage of a sublicense fee or sublicense royalty fee. A minimum royalty fee of $10,000 USD per annum is payable for the life of the patent, and, additional milestone payments throughout the term of the agreement.</w:t>
      </w:r>
    </w:p>
    <w:p w14:paraId="78444690" w14:textId="50DD010E" w:rsidR="00BC7C0F" w:rsidRDefault="001A2907" w:rsidP="00C303FF">
      <w:pPr>
        <w:pStyle w:val="Note-Sub-heading"/>
      </w:pPr>
      <w:r>
        <w:t>(b)</w:t>
      </w:r>
      <w:r>
        <w:tab/>
        <w:t>Guarantees</w:t>
      </w:r>
    </w:p>
    <w:p w14:paraId="6E540AFB" w14:textId="77777777" w:rsidR="00FE47F8" w:rsidRDefault="00FE47F8" w:rsidP="00FE47F8">
      <w:pPr>
        <w:pStyle w:val="Note-Heading"/>
        <w:ind w:left="720"/>
        <w:rPr>
          <w:b w:val="0"/>
        </w:rPr>
      </w:pPr>
      <w:r w:rsidRPr="00FE47F8">
        <w:rPr>
          <w:b w:val="0"/>
        </w:rPr>
        <w:t>The Company periodically enters into research and licence agreements with third parties that include indemnification provisions customary in the industry.  These guarantees generally require the Company to compensate the other party for certain damages and costs incurred as a result of claims arising from research and development activities undertaken on behalf of the Company.  In some cases, the maximum potential amount of future payments that could be required under these indemnification provisions could be unlimited.  These indemnification provisions generally survive termination of the underlying agreement.  The nature of the indemnification obligations prevents the Company from making a reasonable estimate of the maximum potential amount it could be required to pay.  Historically, the Company has not made any indemnification payments under such agreements and no amount has been accrued in the accompanying financial statements with respect to these indemnification obligations.</w:t>
      </w:r>
    </w:p>
    <w:p w14:paraId="29362503" w14:textId="77777777" w:rsidR="00072E7A" w:rsidRDefault="006703BA" w:rsidP="00FE47F8">
      <w:pPr>
        <w:pStyle w:val="Note-Heading"/>
      </w:pPr>
      <w:r>
        <w:t>1</w:t>
      </w:r>
      <w:r w:rsidR="002A56EB">
        <w:t>1</w:t>
      </w:r>
      <w:r>
        <w:t>.</w:t>
      </w:r>
      <w:r w:rsidR="001A2907">
        <w:tab/>
        <w:t>Government and other assistance:</w:t>
      </w:r>
    </w:p>
    <w:p w14:paraId="1D36B83D" w14:textId="113283E3" w:rsidR="00FE47F8" w:rsidRDefault="00FE47F8" w:rsidP="00FE47F8">
      <w:pPr>
        <w:pStyle w:val="Note-Heading"/>
        <w:ind w:left="288"/>
        <w:rPr>
          <w:b w:val="0"/>
          <w:bCs w:val="0"/>
        </w:rPr>
      </w:pPr>
      <w:r w:rsidRPr="00FE47F8">
        <w:rPr>
          <w:b w:val="0"/>
          <w:bCs w:val="0"/>
        </w:rPr>
        <w:t>During</w:t>
      </w:r>
      <w:r w:rsidR="0091139E">
        <w:rPr>
          <w:b w:val="0"/>
          <w:bCs w:val="0"/>
        </w:rPr>
        <w:t xml:space="preserve"> the period ended June 30</w:t>
      </w:r>
      <w:r>
        <w:rPr>
          <w:b w:val="0"/>
          <w:bCs w:val="0"/>
        </w:rPr>
        <w:t>, 2017</w:t>
      </w:r>
      <w:r w:rsidRPr="00FE47F8">
        <w:rPr>
          <w:b w:val="0"/>
          <w:bCs w:val="0"/>
        </w:rPr>
        <w:t xml:space="preserve">, the Company received </w:t>
      </w:r>
      <w:r w:rsidR="0056269C" w:rsidRPr="0056269C">
        <w:rPr>
          <w:b w:val="0"/>
          <w:bCs w:val="0"/>
        </w:rPr>
        <w:t>$88,355</w:t>
      </w:r>
      <w:r w:rsidR="00511AEC" w:rsidRPr="0056269C">
        <w:rPr>
          <w:b w:val="0"/>
          <w:bCs w:val="0"/>
        </w:rPr>
        <w:t>,</w:t>
      </w:r>
      <w:r w:rsidR="0091139E">
        <w:rPr>
          <w:b w:val="0"/>
          <w:bCs w:val="0"/>
        </w:rPr>
        <w:t xml:space="preserve"> (June 30, 2016 - $66,525</w:t>
      </w:r>
      <w:r w:rsidRPr="00511AEC">
        <w:rPr>
          <w:b w:val="0"/>
          <w:bCs w:val="0"/>
        </w:rPr>
        <w:t>) in government and other assistance for the purpose of research and product market development. Government and other assistance has been recorded as a reduction to research and general and administrative expenses. No grants repayable have been recorded to date</w:t>
      </w:r>
      <w:r w:rsidRPr="00FE47F8">
        <w:rPr>
          <w:b w:val="0"/>
          <w:bCs w:val="0"/>
        </w:rPr>
        <w:t xml:space="preserve">. </w:t>
      </w:r>
    </w:p>
    <w:p w14:paraId="5746AEF6" w14:textId="77777777" w:rsidR="00072E7A" w:rsidRDefault="00323285">
      <w:pPr>
        <w:pStyle w:val="Note-Heading"/>
      </w:pPr>
      <w:r>
        <w:t>1</w:t>
      </w:r>
      <w:r w:rsidR="002A56EB">
        <w:t>2</w:t>
      </w:r>
      <w:r w:rsidR="001A2907">
        <w:t>.</w:t>
      </w:r>
      <w:r w:rsidR="001A2907">
        <w:tab/>
        <w:t>Related parties:</w:t>
      </w:r>
    </w:p>
    <w:p w14:paraId="4DB2F30D" w14:textId="77777777" w:rsidR="00072E7A" w:rsidRDefault="001A2907">
      <w:pPr>
        <w:pStyle w:val="Note-Sub-heading"/>
      </w:pPr>
      <w:r>
        <w:t>(a)</w:t>
      </w:r>
      <w:r>
        <w:tab/>
        <w:t>Key management personnel compensation</w:t>
      </w:r>
    </w:p>
    <w:p w14:paraId="652311D6" w14:textId="77777777" w:rsidR="00072E7A" w:rsidRPr="00E67445" w:rsidRDefault="001A2907" w:rsidP="00E67445">
      <w:pPr>
        <w:pStyle w:val="Note-Sub-normal"/>
      </w:pPr>
      <w:r w:rsidRPr="00E67445">
        <w:t>Key management personnel are those persons having authority and responsibility for planning, directing and controlling the activities of the C</w:t>
      </w:r>
      <w:r w:rsidR="00734E73">
        <w:t>ompany.  The Board of Directors</w:t>
      </w:r>
      <w:r w:rsidRPr="00E67445">
        <w:t xml:space="preserve"> </w:t>
      </w:r>
      <w:r w:rsidR="00734E73">
        <w:t xml:space="preserve">and </w:t>
      </w:r>
      <w:r w:rsidR="00CD7ACD" w:rsidRPr="00E67445">
        <w:t>President &amp;</w:t>
      </w:r>
      <w:r w:rsidRPr="00E67445">
        <w:t xml:space="preserve"> CEO are key management personnel.</w:t>
      </w:r>
    </w:p>
    <w:p w14:paraId="0D702FF6" w14:textId="2E976A53" w:rsidR="00CA7297" w:rsidRDefault="001A2907" w:rsidP="00B71D54">
      <w:pPr>
        <w:pStyle w:val="Note-Sub-normal"/>
      </w:pPr>
      <w:r w:rsidRPr="00E67445">
        <w:t>In addition to their salaries, the Company also provides non</w:t>
      </w:r>
      <w:r w:rsidRPr="00E67445">
        <w:noBreakHyphen/>
        <w:t xml:space="preserve">cash benefits and participation in the Stock Option Plan (Note </w:t>
      </w:r>
      <w:r w:rsidR="00F93E36">
        <w:t>9</w:t>
      </w:r>
      <w:r w:rsidRPr="00E67445">
        <w:t>(c)).  The following table details the compensation paid to key management personnel:</w:t>
      </w:r>
    </w:p>
    <w:p w14:paraId="18EEB029" w14:textId="07690BC8" w:rsidR="0056269C" w:rsidRDefault="0056269C" w:rsidP="0080015A">
      <w:pPr>
        <w:pStyle w:val="Note-Sub-normal"/>
        <w:spacing w:before="0"/>
      </w:pPr>
    </w:p>
    <w:p w14:paraId="05163954" w14:textId="5D0CFBAC" w:rsidR="0056269C" w:rsidRDefault="00040488" w:rsidP="00805AB4">
      <w:pPr>
        <w:pStyle w:val="Note-Sub-normal"/>
        <w:spacing w:before="0"/>
        <w:ind w:left="0"/>
      </w:pPr>
      <w:r w:rsidRPr="00040488">
        <w:rPr>
          <w:noProof/>
        </w:rPr>
        <w:drawing>
          <wp:inline distT="0" distB="0" distL="0" distR="0" wp14:anchorId="1E9D90D0" wp14:editId="41E21FDD">
            <wp:extent cx="5486400" cy="1419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1419860"/>
                    </a:xfrm>
                    <a:prstGeom prst="rect">
                      <a:avLst/>
                    </a:prstGeom>
                    <a:noFill/>
                    <a:ln>
                      <a:noFill/>
                    </a:ln>
                  </pic:spPr>
                </pic:pic>
              </a:graphicData>
            </a:graphic>
          </wp:inline>
        </w:drawing>
      </w:r>
    </w:p>
    <w:p w14:paraId="1BE2CE79" w14:textId="11F91B87" w:rsidR="00C417E7" w:rsidRDefault="00F30A08" w:rsidP="0056269C">
      <w:r>
        <w:tab/>
      </w:r>
    </w:p>
    <w:p w14:paraId="1CA1BBF3" w14:textId="77777777" w:rsidR="007F4020" w:rsidRDefault="007F4020" w:rsidP="0056269C"/>
    <w:p w14:paraId="6717ADD4" w14:textId="77777777" w:rsidR="00072E7A" w:rsidRDefault="001A2907" w:rsidP="00816B5A">
      <w:pPr>
        <w:pStyle w:val="Note-Sub-heading"/>
      </w:pPr>
      <w:r>
        <w:lastRenderedPageBreak/>
        <w:t>(b)</w:t>
      </w:r>
      <w:r>
        <w:tab/>
        <w:t>Key management personnel and director transaction</w:t>
      </w:r>
      <w:r w:rsidR="004648D1">
        <w:t>s</w:t>
      </w:r>
    </w:p>
    <w:p w14:paraId="12748EDC" w14:textId="77777777" w:rsidR="00072E7A" w:rsidRDefault="001A2907" w:rsidP="00E67445">
      <w:pPr>
        <w:pStyle w:val="Note-Sub-normal"/>
      </w:pPr>
      <w:r w:rsidRPr="00E67445">
        <w:t xml:space="preserve">Directors and key management personnel control </w:t>
      </w:r>
      <w:r w:rsidR="00FE47F8" w:rsidRPr="0037419D">
        <w:rPr>
          <w:color w:val="auto"/>
        </w:rPr>
        <w:t>twenty-eight</w:t>
      </w:r>
      <w:r w:rsidR="00953C9E" w:rsidRPr="0037419D">
        <w:t xml:space="preserve"> </w:t>
      </w:r>
      <w:r w:rsidRPr="0037419D">
        <w:t>percent</w:t>
      </w:r>
      <w:r w:rsidRPr="00E67445">
        <w:t xml:space="preserve"> of the</w:t>
      </w:r>
      <w:r w:rsidR="00BF6137">
        <w:t xml:space="preserve"> voting shares of the Company.</w:t>
      </w:r>
    </w:p>
    <w:p w14:paraId="1C995688" w14:textId="77777777" w:rsidR="00072E7A" w:rsidRDefault="001A2907">
      <w:pPr>
        <w:pStyle w:val="Note-Heading"/>
      </w:pPr>
      <w:r>
        <w:t>1</w:t>
      </w:r>
      <w:r w:rsidR="002A56EB">
        <w:t>3</w:t>
      </w:r>
      <w:r>
        <w:t>.</w:t>
      </w:r>
      <w:r>
        <w:tab/>
        <w:t>Determination of fair values:</w:t>
      </w:r>
    </w:p>
    <w:p w14:paraId="41995342" w14:textId="77777777" w:rsidR="00FE47F8" w:rsidRPr="00FE47F8" w:rsidRDefault="00FE47F8" w:rsidP="00FE47F8">
      <w:pPr>
        <w:spacing w:before="144"/>
        <w:ind w:left="288"/>
        <w:jc w:val="both"/>
        <w:rPr>
          <w:rFonts w:eastAsia="Times New Roman"/>
          <w:spacing w:val="-2"/>
        </w:rPr>
      </w:pPr>
      <w:r w:rsidRPr="00FE47F8">
        <w:rPr>
          <w:rFonts w:eastAsia="Times New Roman"/>
          <w:spacing w:val="-2"/>
        </w:rPr>
        <w:t>A number of the Company's accounting policies and disclosures require the determination of fair value, for both financial and non</w:t>
      </w:r>
      <w:r w:rsidRPr="00FE47F8">
        <w:rPr>
          <w:rFonts w:eastAsia="Times New Roman"/>
          <w:spacing w:val="-2"/>
        </w:rPr>
        <w:noBreakHyphen/>
        <w:t>financial assets and liabilities.  Fair values have been determined for measurement and/or disclosure purposes based on the following models.  When applicable, further information about the assumptions made in determining fair values is disclosed in the notes specific to that asset or liability.</w:t>
      </w:r>
    </w:p>
    <w:p w14:paraId="321BD921" w14:textId="77777777" w:rsidR="00FE47F8" w:rsidRPr="00FE47F8" w:rsidRDefault="00FE47F8" w:rsidP="00FE47F8">
      <w:pPr>
        <w:spacing w:before="144"/>
        <w:ind w:firstLine="288"/>
        <w:jc w:val="both"/>
        <w:rPr>
          <w:rFonts w:eastAsia="Times New Roman"/>
          <w:b/>
        </w:rPr>
      </w:pPr>
      <w:r w:rsidRPr="00FE47F8">
        <w:rPr>
          <w:rFonts w:eastAsia="Times New Roman"/>
          <w:b/>
        </w:rPr>
        <w:t>Share</w:t>
      </w:r>
      <w:r w:rsidRPr="00FE47F8">
        <w:rPr>
          <w:rFonts w:eastAsia="Times New Roman"/>
          <w:b/>
        </w:rPr>
        <w:noBreakHyphen/>
        <w:t>based payment transactions</w:t>
      </w:r>
    </w:p>
    <w:p w14:paraId="0E12B7E1" w14:textId="34A39884" w:rsidR="00B670BD" w:rsidRDefault="00FE47F8" w:rsidP="00B670BD">
      <w:pPr>
        <w:pStyle w:val="Note-Normal"/>
        <w:rPr>
          <w:rFonts w:eastAsia="Times New Roman"/>
          <w:spacing w:val="-2"/>
        </w:rPr>
      </w:pPr>
      <w:r w:rsidRPr="00FE47F8">
        <w:rPr>
          <w:rFonts w:eastAsia="Times New Roman"/>
          <w:spacing w:val="-2"/>
        </w:rPr>
        <w:t>The fair value of the employee share options is measured using the Black</w:t>
      </w:r>
      <w:r w:rsidRPr="00FE47F8">
        <w:rPr>
          <w:rFonts w:eastAsia="Times New Roman"/>
          <w:spacing w:val="-2"/>
        </w:rPr>
        <w:noBreakHyphen/>
        <w:t>Scholes formula. Measurement inputs include share price on measurement date, exercise price of the instrument, expected volatility (based on weighted average historic volatility adjusted for changes expected due to publicly available information), weighted average expected life of the instruments (based on historical experience and general option holder behaviour), expected dividends, and the risk</w:t>
      </w:r>
      <w:r w:rsidRPr="00FE47F8">
        <w:rPr>
          <w:rFonts w:eastAsia="Times New Roman"/>
          <w:spacing w:val="-2"/>
        </w:rPr>
        <w:noBreakHyphen/>
        <w:t>free interest rate (based on government bonds). Service and non</w:t>
      </w:r>
      <w:r w:rsidRPr="00FE47F8">
        <w:rPr>
          <w:rFonts w:eastAsia="Times New Roman"/>
          <w:spacing w:val="-2"/>
        </w:rPr>
        <w:noBreakHyphen/>
        <w:t xml:space="preserve">market performance conditions attached to the transactions are not </w:t>
      </w:r>
      <w:proofErr w:type="gramStart"/>
      <w:r w:rsidRPr="00FE47F8">
        <w:rPr>
          <w:rFonts w:eastAsia="Times New Roman"/>
          <w:spacing w:val="-2"/>
        </w:rPr>
        <w:t>taken into account</w:t>
      </w:r>
      <w:proofErr w:type="gramEnd"/>
      <w:r w:rsidRPr="00FE47F8">
        <w:rPr>
          <w:rFonts w:eastAsia="Times New Roman"/>
          <w:spacing w:val="-2"/>
        </w:rPr>
        <w:t xml:space="preserve"> in determining fair value</w:t>
      </w:r>
      <w:r w:rsidR="00B670BD">
        <w:rPr>
          <w:rFonts w:eastAsia="Times New Roman"/>
          <w:spacing w:val="-2"/>
        </w:rPr>
        <w:t>.</w:t>
      </w:r>
    </w:p>
    <w:p w14:paraId="4F79470E" w14:textId="058BCD0A" w:rsidR="00B670BD" w:rsidRPr="00B670BD" w:rsidRDefault="00B670BD" w:rsidP="00B670BD">
      <w:pPr>
        <w:pStyle w:val="Note-Heading"/>
        <w:rPr>
          <w:rFonts w:ascii="Helvetica" w:hAnsi="Helvetica" w:cs="Helvetica"/>
          <w:color w:val="333333"/>
        </w:rPr>
      </w:pPr>
      <w:r w:rsidRPr="00E70BDA">
        <w:t>14. Subsequent Events</w:t>
      </w:r>
    </w:p>
    <w:p w14:paraId="602360F0" w14:textId="0B1FB443" w:rsidR="00C36AB1" w:rsidRPr="00C36AB1" w:rsidRDefault="00C36AB1" w:rsidP="00C36AB1">
      <w:pPr>
        <w:spacing w:before="144"/>
        <w:ind w:firstLine="288"/>
        <w:jc w:val="both"/>
        <w:rPr>
          <w:rFonts w:eastAsia="Times New Roman"/>
          <w:b/>
        </w:rPr>
      </w:pPr>
      <w:r>
        <w:rPr>
          <w:rFonts w:eastAsia="Times New Roman"/>
          <w:b/>
        </w:rPr>
        <w:t>(a</w:t>
      </w:r>
      <w:r w:rsidRPr="00C36AB1">
        <w:rPr>
          <w:rFonts w:eastAsia="Times New Roman"/>
          <w:b/>
        </w:rPr>
        <w:t>)</w:t>
      </w:r>
      <w:r w:rsidRPr="00C36AB1">
        <w:rPr>
          <w:rFonts w:eastAsia="Times New Roman"/>
          <w:b/>
        </w:rPr>
        <w:tab/>
        <w:t>Private placement offering:</w:t>
      </w:r>
    </w:p>
    <w:p w14:paraId="25048849" w14:textId="484AB9B8" w:rsidR="00C36AB1" w:rsidRPr="00C36AB1" w:rsidRDefault="00C36AB1" w:rsidP="00C36AB1">
      <w:pPr>
        <w:spacing w:before="144"/>
        <w:ind w:left="288"/>
        <w:jc w:val="both"/>
        <w:rPr>
          <w:rFonts w:eastAsia="Times New Roman"/>
          <w:spacing w:val="-2"/>
        </w:rPr>
      </w:pPr>
      <w:r w:rsidRPr="00C36AB1">
        <w:rPr>
          <w:rFonts w:eastAsia="Times New Roman"/>
          <w:spacing w:val="-2"/>
        </w:rPr>
        <w:t xml:space="preserve">On June 1, 2017, the Company announced the intention to undertake a non-brokered private placement offering at a price of $0.12 per unit. The offering closed on July 17, 2017 and the Company issued 33,404,997 units for aggregate gross proceeds of $4,008,599.64. Each unit is comprised of one common share of the Company and one share purchase warrant, that entitles the holder to purchase one common share at a price of $0.18 per share for a period of 18 months from the date of issuance of the warrant.   </w:t>
      </w:r>
    </w:p>
    <w:p w14:paraId="7AA7C5DD" w14:textId="3F49C6B5" w:rsidR="00B670BD" w:rsidRPr="00B670BD" w:rsidRDefault="00C36AB1" w:rsidP="00B670BD">
      <w:pPr>
        <w:spacing w:before="144"/>
        <w:ind w:firstLine="288"/>
        <w:jc w:val="both"/>
        <w:rPr>
          <w:rFonts w:eastAsia="Times New Roman"/>
          <w:b/>
        </w:rPr>
      </w:pPr>
      <w:r>
        <w:rPr>
          <w:rFonts w:eastAsia="Times New Roman"/>
          <w:b/>
        </w:rPr>
        <w:t>(b</w:t>
      </w:r>
      <w:r w:rsidR="00B670BD" w:rsidRPr="00B670BD">
        <w:rPr>
          <w:rFonts w:eastAsia="Times New Roman"/>
          <w:b/>
        </w:rPr>
        <w:t>)</w:t>
      </w:r>
      <w:r w:rsidR="00B670BD" w:rsidRPr="00B670BD">
        <w:rPr>
          <w:rFonts w:eastAsia="Times New Roman"/>
          <w:b/>
        </w:rPr>
        <w:tab/>
      </w:r>
      <w:r w:rsidR="009F4A05">
        <w:rPr>
          <w:rFonts w:eastAsia="Times New Roman"/>
          <w:b/>
        </w:rPr>
        <w:t>Payment of outstanding debt</w:t>
      </w:r>
      <w:r w:rsidR="00D64F1B">
        <w:rPr>
          <w:rFonts w:eastAsia="Times New Roman"/>
          <w:b/>
        </w:rPr>
        <w:t xml:space="preserve"> and grant of options</w:t>
      </w:r>
      <w:r w:rsidR="00B670BD" w:rsidRPr="00B670BD">
        <w:rPr>
          <w:rFonts w:eastAsia="Times New Roman"/>
          <w:b/>
        </w:rPr>
        <w:t>:</w:t>
      </w:r>
    </w:p>
    <w:p w14:paraId="4D455CB6" w14:textId="77777777" w:rsidR="009F4A05" w:rsidRDefault="009F4A05" w:rsidP="009F4A05">
      <w:pPr>
        <w:spacing w:before="144"/>
        <w:ind w:left="288"/>
        <w:jc w:val="both"/>
        <w:rPr>
          <w:rFonts w:eastAsia="Times New Roman"/>
          <w:spacing w:val="-2"/>
        </w:rPr>
      </w:pPr>
      <w:r w:rsidRPr="009F4A05">
        <w:rPr>
          <w:rFonts w:eastAsia="Times New Roman"/>
          <w:spacing w:val="-2"/>
        </w:rPr>
        <w:t xml:space="preserve">On July 24, 2017, the Company announced it has paid out all its outstanding debt.  This included its $500,000 convertible note and $400,000 bridge loan.  The Company also announced it has granted an aggregate of 913,000 stock options at an exercise price of $0.30 per common share to directors, management, and employees of the Company. The options pursuant to the Corporation’s stock option plan and are subject to TSX Venture Exchange acceptance. In accordance with securities regulatory requirements, any shares issued pursuant to the exercise of such options will be subject to resale restriction for a period of four months from the date of the grant. </w:t>
      </w:r>
    </w:p>
    <w:p w14:paraId="71658BC5" w14:textId="4B903369" w:rsidR="00F13559" w:rsidRPr="00B670BD" w:rsidRDefault="00B670BD" w:rsidP="00B670BD">
      <w:pPr>
        <w:pStyle w:val="Note-Normal"/>
        <w:rPr>
          <w:rFonts w:eastAsia="Times New Roman"/>
          <w:spacing w:val="-2"/>
        </w:rPr>
      </w:pPr>
      <w:r w:rsidRPr="00B670BD">
        <w:rPr>
          <w:rFonts w:eastAsia="Times New Roman"/>
          <w:spacing w:val="-2"/>
        </w:rPr>
        <w:t xml:space="preserve">  </w:t>
      </w:r>
      <w:r w:rsidR="00F13559" w:rsidRPr="00B670BD">
        <w:rPr>
          <w:rFonts w:eastAsia="Times New Roman"/>
          <w:spacing w:val="-2"/>
        </w:rPr>
        <w:br/>
      </w:r>
    </w:p>
    <w:sectPr w:rsidR="00F13559" w:rsidRPr="00B670BD" w:rsidSect="00C101D7">
      <w:headerReference w:type="default" r:id="rId36"/>
      <w:footerReference w:type="default" r:id="rId37"/>
      <w:pgSz w:w="12240" w:h="15840"/>
      <w:pgMar w:top="1008" w:right="1008" w:bottom="1008" w:left="1008"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1AE8" w14:textId="77777777" w:rsidR="007A3F01" w:rsidRDefault="007A3F01">
      <w:r>
        <w:separator/>
      </w:r>
    </w:p>
  </w:endnote>
  <w:endnote w:type="continuationSeparator" w:id="0">
    <w:p w14:paraId="6CD2397B" w14:textId="77777777" w:rsidR="007A3F01" w:rsidRDefault="007A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452657"/>
      <w:docPartObj>
        <w:docPartGallery w:val="Page Numbers (Bottom of Page)"/>
        <w:docPartUnique/>
      </w:docPartObj>
    </w:sdtPr>
    <w:sdtEndPr>
      <w:rPr>
        <w:noProof/>
      </w:rPr>
    </w:sdtEndPr>
    <w:sdtContent>
      <w:p w14:paraId="06405E20" w14:textId="77777777" w:rsidR="008D5F66" w:rsidRDefault="008D5F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679CB5" w14:textId="77777777" w:rsidR="008D5F66" w:rsidRDefault="008D5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3D5E" w14:textId="77777777" w:rsidR="008D5F66" w:rsidRDefault="008D5F66">
    <w:pPr>
      <w:jc w:val="center"/>
    </w:pPr>
    <w:r>
      <w:t>The notes on pages 5 to 20 are an integral part of these financial statements</w:t>
    </w:r>
  </w:p>
  <w:p w14:paraId="37582F78" w14:textId="77777777" w:rsidR="008D5F66" w:rsidRDefault="008D5F66">
    <w:pPr>
      <w:jc w:val="center"/>
    </w:pPr>
    <w:r>
      <w:t>1</w:t>
    </w:r>
  </w:p>
  <w:p w14:paraId="4D21CCC9" w14:textId="77777777" w:rsidR="008D5F66" w:rsidRDefault="008D5F66">
    <w:pPr>
      <w:jc w:val="center"/>
    </w:pPr>
  </w:p>
  <w:p w14:paraId="24BA0BB8" w14:textId="77777777" w:rsidR="008D5F66" w:rsidRDefault="008D5F6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5ED6" w14:textId="77777777" w:rsidR="008D5F66" w:rsidRDefault="008D5F66">
    <w:pPr>
      <w:jc w:val="center"/>
    </w:pPr>
    <w:r>
      <w:t>The notes on pages 5 to 20 are an integral part of these financial statements</w:t>
    </w:r>
  </w:p>
  <w:p w14:paraId="50E1FF99" w14:textId="77777777" w:rsidR="008D5F66" w:rsidRDefault="008D5F66">
    <w:pPr>
      <w:jc w:val="center"/>
    </w:pPr>
    <w:r>
      <w:t>2</w:t>
    </w:r>
  </w:p>
  <w:p w14:paraId="091771D8" w14:textId="77777777" w:rsidR="008D5F66" w:rsidRDefault="008D5F66">
    <w:pPr>
      <w:jc w:val="center"/>
    </w:pPr>
  </w:p>
  <w:p w14:paraId="6377161A" w14:textId="77777777" w:rsidR="008D5F66" w:rsidRDefault="008D5F66">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B054" w14:textId="77777777" w:rsidR="008D5F66" w:rsidRDefault="008D5F66" w:rsidP="00516538">
    <w:pPr>
      <w:jc w:val="center"/>
    </w:pPr>
    <w:r>
      <w:t>The notes on pages 5 to 20 are an integral part of these financial statements.</w:t>
    </w:r>
  </w:p>
  <w:p w14:paraId="53617E7A" w14:textId="77777777" w:rsidR="008D5F66" w:rsidRPr="00C44168" w:rsidRDefault="008D5F66" w:rsidP="00516538">
    <w:pPr>
      <w:jc w:val="center"/>
    </w:pP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B4F5" w14:textId="77777777" w:rsidR="008D5F66" w:rsidRDefault="008D5F66" w:rsidP="00516538">
    <w:pPr>
      <w:jc w:val="center"/>
    </w:pPr>
    <w:r>
      <w:t>The notes on pages 5 to 20 are an integral part of these financial statements.</w:t>
    </w:r>
  </w:p>
  <w:p w14:paraId="4E190062" w14:textId="77777777" w:rsidR="008D5F66" w:rsidRDefault="008D5F66" w:rsidP="0033411C">
    <w:pPr>
      <w:tabs>
        <w:tab w:val="left" w:pos="4212"/>
        <w:tab w:val="center" w:pos="5112"/>
      </w:tabs>
    </w:pPr>
    <w:r>
      <w:tab/>
    </w:r>
    <w:r>
      <w:tab/>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F149" w14:textId="77777777" w:rsidR="008D5F66" w:rsidRDefault="008D5F66">
    <w:pPr>
      <w:pStyle w:val="Footer"/>
      <w:jc w:val="center"/>
    </w:pPr>
  </w:p>
  <w:p w14:paraId="094D3D4A" w14:textId="6E7EA4DD" w:rsidR="008D5F66" w:rsidRDefault="007A3F01">
    <w:pPr>
      <w:pStyle w:val="Footer"/>
      <w:jc w:val="center"/>
    </w:pPr>
    <w:sdt>
      <w:sdtPr>
        <w:id w:val="15803183"/>
        <w:docPartObj>
          <w:docPartGallery w:val="Page Numbers (Bottom of Page)"/>
          <w:docPartUnique/>
        </w:docPartObj>
      </w:sdtPr>
      <w:sdtEndPr/>
      <w:sdtContent>
        <w:r w:rsidR="008D5F66">
          <w:fldChar w:fldCharType="begin"/>
        </w:r>
        <w:r w:rsidR="008D5F66">
          <w:instrText xml:space="preserve"> PAGE   \* MERGEFORMAT </w:instrText>
        </w:r>
        <w:r w:rsidR="008D5F66">
          <w:fldChar w:fldCharType="separate"/>
        </w:r>
        <w:r w:rsidR="00BE3A08">
          <w:rPr>
            <w:noProof/>
          </w:rPr>
          <w:t>19</w:t>
        </w:r>
        <w:r w:rsidR="008D5F66">
          <w:rPr>
            <w:noProof/>
          </w:rPr>
          <w:fldChar w:fldCharType="end"/>
        </w:r>
      </w:sdtContent>
    </w:sdt>
  </w:p>
  <w:p w14:paraId="7334E319" w14:textId="77777777" w:rsidR="008D5F66" w:rsidRPr="00C44168" w:rsidRDefault="008D5F66" w:rsidP="00C4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73A79" w14:textId="77777777" w:rsidR="007A3F01" w:rsidRDefault="007A3F01">
      <w:r>
        <w:separator/>
      </w:r>
    </w:p>
  </w:footnote>
  <w:footnote w:type="continuationSeparator" w:id="0">
    <w:p w14:paraId="166CA068" w14:textId="77777777" w:rsidR="007A3F01" w:rsidRDefault="007A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DA4" w14:textId="77777777" w:rsidR="008D5F66" w:rsidRDefault="008D5F66" w:rsidP="009518F4">
    <w:pPr>
      <w:pStyle w:val="Header"/>
      <w:tabs>
        <w:tab w:val="clear" w:pos="4680"/>
        <w:tab w:val="clear" w:pos="9360"/>
        <w:tab w:val="left" w:pos="32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0CAE" w14:textId="77777777" w:rsidR="008D5F66" w:rsidRDefault="008D5F66" w:rsidP="002D6DCD">
    <w:pPr>
      <w:pStyle w:val="3-ColumnBS"/>
      <w:tabs>
        <w:tab w:val="clear" w:pos="6624"/>
        <w:tab w:val="clear" w:pos="8352"/>
        <w:tab w:val="left" w:pos="3708"/>
      </w:tabs>
    </w:pPr>
    <w:r>
      <w:rPr>
        <w:b/>
        <w:bCs/>
        <w:sz w:val="28"/>
        <w:szCs w:val="28"/>
      </w:rPr>
      <w:t>KANE BIOTECH INC.</w:t>
    </w:r>
    <w:r>
      <w:tab/>
    </w:r>
    <w:r>
      <w:tab/>
    </w:r>
    <w:r>
      <w:rPr>
        <w:noProof/>
      </w:rPr>
      <w:drawing>
        <wp:inline distT="0" distB="0" distL="0" distR="0" wp14:anchorId="0D7CC045" wp14:editId="05E8DBA1">
          <wp:extent cx="1061085" cy="43878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438785"/>
                  </a:xfrm>
                  <a:prstGeom prst="rect">
                    <a:avLst/>
                  </a:prstGeom>
                  <a:noFill/>
                </pic:spPr>
              </pic:pic>
            </a:graphicData>
          </a:graphic>
        </wp:inline>
      </w:drawing>
    </w:r>
  </w:p>
  <w:p w14:paraId="52406E24" w14:textId="77777777" w:rsidR="008D5F66" w:rsidRDefault="008D5F66">
    <w:pPr>
      <w:pStyle w:val="3-ColumnBS"/>
      <w:tabs>
        <w:tab w:val="clear" w:pos="6624"/>
        <w:tab w:val="clear" w:pos="8352"/>
        <w:tab w:val="clear" w:pos="10224"/>
      </w:tabs>
      <w:rPr>
        <w:b/>
        <w:bCs/>
      </w:rPr>
    </w:pPr>
    <w:r>
      <w:rPr>
        <w:b/>
        <w:bCs/>
      </w:rPr>
      <w:t>Interim Condensed Statement of Financial Position</w:t>
    </w:r>
  </w:p>
  <w:p w14:paraId="0CCE2988" w14:textId="77777777" w:rsidR="008D5F66" w:rsidRDefault="008D5F66">
    <w:pPr>
      <w:pStyle w:val="3-ColumnBS"/>
      <w:tabs>
        <w:tab w:val="clear" w:pos="6624"/>
        <w:tab w:val="clear" w:pos="8352"/>
        <w:tab w:val="clear" w:pos="10224"/>
      </w:tabs>
    </w:pPr>
    <w:r>
      <w:rPr>
        <w:b/>
        <w:bCs/>
      </w:rPr>
      <w:t>(unaudited)</w:t>
    </w:r>
  </w:p>
  <w:p w14:paraId="5C1C00B3" w14:textId="77777777" w:rsidR="008D5F66" w:rsidRDefault="008D5F66">
    <w:r>
      <w:rPr>
        <w:noProof/>
      </w:rPr>
      <mc:AlternateContent>
        <mc:Choice Requires="wps">
          <w:drawing>
            <wp:anchor distT="0" distB="0" distL="114300" distR="114300" simplePos="0" relativeHeight="251662336" behindDoc="0" locked="0" layoutInCell="0" allowOverlap="1" wp14:anchorId="513E6AAE" wp14:editId="628F8214">
              <wp:simplePos x="0" y="0"/>
              <wp:positionH relativeFrom="character">
                <wp:posOffset>0</wp:posOffset>
              </wp:positionH>
              <wp:positionV relativeFrom="paragraph">
                <wp:posOffset>57150</wp:posOffset>
              </wp:positionV>
              <wp:extent cx="6492240" cy="0"/>
              <wp:effectExtent l="9525" t="9525" r="1333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6A9E" id="Line 5" o:spid="_x0000_s1026" style="position:absolute;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RsEgIAACk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" o:allowincell="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E2F2" w14:textId="77777777" w:rsidR="008D5F66" w:rsidRDefault="008D5F66">
    <w:pPr>
      <w:pStyle w:val="3-ColumnBS"/>
      <w:tabs>
        <w:tab w:val="clear" w:pos="6624"/>
        <w:tab w:val="clear" w:pos="8352"/>
      </w:tabs>
    </w:pPr>
    <w:r>
      <w:rPr>
        <w:b/>
        <w:bCs/>
        <w:sz w:val="28"/>
        <w:szCs w:val="28"/>
      </w:rPr>
      <w:t>KANE BIOTECH INC.</w:t>
    </w:r>
    <w:r>
      <w:tab/>
    </w:r>
    <w:r>
      <w:rPr>
        <w:noProof/>
      </w:rPr>
      <w:drawing>
        <wp:inline distT="0" distB="0" distL="0" distR="0" wp14:anchorId="367E368C" wp14:editId="22FF6750">
          <wp:extent cx="1061085" cy="43878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438785"/>
                  </a:xfrm>
                  <a:prstGeom prst="rect">
                    <a:avLst/>
                  </a:prstGeom>
                  <a:noFill/>
                </pic:spPr>
              </pic:pic>
            </a:graphicData>
          </a:graphic>
        </wp:inline>
      </w:drawing>
    </w:r>
  </w:p>
  <w:p w14:paraId="5D114B28" w14:textId="77777777" w:rsidR="008D5F66" w:rsidRDefault="008D5F66">
    <w:pPr>
      <w:pStyle w:val="3-ColumnBS"/>
      <w:tabs>
        <w:tab w:val="clear" w:pos="6624"/>
        <w:tab w:val="clear" w:pos="8352"/>
        <w:tab w:val="clear" w:pos="10224"/>
      </w:tabs>
      <w:rPr>
        <w:b/>
        <w:bCs/>
      </w:rPr>
    </w:pPr>
    <w:r>
      <w:rPr>
        <w:b/>
        <w:bCs/>
      </w:rPr>
      <w:t>Interim Condensed Statements of Comprehensive Loss</w:t>
    </w:r>
  </w:p>
  <w:p w14:paraId="7B7D3749" w14:textId="77777777" w:rsidR="008D5F66" w:rsidRDefault="008D5F66">
    <w:pPr>
      <w:pStyle w:val="3-ColumnBS"/>
      <w:tabs>
        <w:tab w:val="clear" w:pos="6624"/>
        <w:tab w:val="clear" w:pos="8352"/>
        <w:tab w:val="clear" w:pos="10224"/>
      </w:tabs>
      <w:rPr>
        <w:b/>
        <w:bCs/>
      </w:rPr>
    </w:pPr>
    <w:r>
      <w:rPr>
        <w:b/>
        <w:bCs/>
      </w:rPr>
      <w:t>(unaudited)</w:t>
    </w:r>
  </w:p>
  <w:p w14:paraId="0DBEF218" w14:textId="77777777" w:rsidR="008D5F66" w:rsidRDefault="008D5F66">
    <w:r>
      <w:rPr>
        <w:noProof/>
      </w:rPr>
      <mc:AlternateContent>
        <mc:Choice Requires="wps">
          <w:drawing>
            <wp:anchor distT="0" distB="0" distL="114300" distR="114300" simplePos="0" relativeHeight="251654144" behindDoc="0" locked="0" layoutInCell="0" allowOverlap="1" wp14:anchorId="3B2B225B" wp14:editId="00D1E30A">
              <wp:simplePos x="0" y="0"/>
              <wp:positionH relativeFrom="character">
                <wp:posOffset>0</wp:posOffset>
              </wp:positionH>
              <wp:positionV relativeFrom="paragraph">
                <wp:posOffset>57150</wp:posOffset>
              </wp:positionV>
              <wp:extent cx="6492240" cy="0"/>
              <wp:effectExtent l="9525" t="9525" r="13335"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69BC" id="Line 4" o:spid="_x0000_s1026" style="position:absolute;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jI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" o:allowincell="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B3C8" w14:textId="77777777" w:rsidR="008D5F66" w:rsidRDefault="008D5F66">
    <w:pPr>
      <w:pStyle w:val="3-ColumnBS"/>
      <w:tabs>
        <w:tab w:val="clear" w:pos="6624"/>
        <w:tab w:val="clear" w:pos="8352"/>
      </w:tabs>
    </w:pPr>
    <w:r>
      <w:rPr>
        <w:b/>
        <w:bCs/>
        <w:sz w:val="28"/>
        <w:szCs w:val="28"/>
      </w:rPr>
      <w:t>KANE BIOTECH INC.</w:t>
    </w:r>
    <w:r>
      <w:tab/>
    </w:r>
    <w:r>
      <w:rPr>
        <w:noProof/>
      </w:rPr>
      <w:drawing>
        <wp:inline distT="0" distB="0" distL="0" distR="0" wp14:anchorId="0EFFB247" wp14:editId="026717C1">
          <wp:extent cx="1061085" cy="43878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438785"/>
                  </a:xfrm>
                  <a:prstGeom prst="rect">
                    <a:avLst/>
                  </a:prstGeom>
                  <a:noFill/>
                </pic:spPr>
              </pic:pic>
            </a:graphicData>
          </a:graphic>
        </wp:inline>
      </w:drawing>
    </w:r>
  </w:p>
  <w:p w14:paraId="2BF6EE67" w14:textId="77777777" w:rsidR="008D5F66" w:rsidRDefault="008D5F66">
    <w:pPr>
      <w:pStyle w:val="3-ColumnBS"/>
      <w:tabs>
        <w:tab w:val="clear" w:pos="6624"/>
        <w:tab w:val="clear" w:pos="8352"/>
        <w:tab w:val="clear" w:pos="10224"/>
      </w:tabs>
      <w:rPr>
        <w:b/>
        <w:bCs/>
      </w:rPr>
    </w:pPr>
    <w:r>
      <w:rPr>
        <w:b/>
        <w:bCs/>
      </w:rPr>
      <w:t>Interim Condensed Statement of Changes in Equity</w:t>
    </w:r>
  </w:p>
  <w:p w14:paraId="3B24AABA" w14:textId="7B668E1E" w:rsidR="008D5F66" w:rsidRDefault="00DF0A10">
    <w:pPr>
      <w:rPr>
        <w:b/>
        <w:bCs/>
      </w:rPr>
    </w:pPr>
    <w:r>
      <w:rPr>
        <w:b/>
        <w:bCs/>
      </w:rPr>
      <w:t>Six months ended June 30</w:t>
    </w:r>
    <w:r w:rsidR="008D5F66">
      <w:rPr>
        <w:b/>
        <w:bCs/>
      </w:rPr>
      <w:t>, 2017 and 2016</w:t>
    </w:r>
    <w:r w:rsidR="008D5F66" w:rsidRPr="00A80889">
      <w:rPr>
        <w:b/>
        <w:bCs/>
      </w:rPr>
      <w:t xml:space="preserve"> </w:t>
    </w:r>
  </w:p>
  <w:p w14:paraId="08B67C16" w14:textId="77777777" w:rsidR="008D5F66" w:rsidRDefault="008D5F66">
    <w:r>
      <w:rPr>
        <w:noProof/>
      </w:rPr>
      <mc:AlternateContent>
        <mc:Choice Requires="wps">
          <w:drawing>
            <wp:anchor distT="0" distB="0" distL="114300" distR="114300" simplePos="0" relativeHeight="251652096" behindDoc="0" locked="0" layoutInCell="0" allowOverlap="1" wp14:anchorId="4806EA71" wp14:editId="4C5CD066">
              <wp:simplePos x="0" y="0"/>
              <wp:positionH relativeFrom="character">
                <wp:posOffset>0</wp:posOffset>
              </wp:positionH>
              <wp:positionV relativeFrom="paragraph">
                <wp:posOffset>57150</wp:posOffset>
              </wp:positionV>
              <wp:extent cx="6492240" cy="0"/>
              <wp:effectExtent l="9525" t="9525" r="1333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903EB" id="Line 3" o:spid="_x0000_s1026" style="position:absolute;z-index:2516520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is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" o:allowincell="f"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AB60" w14:textId="77777777" w:rsidR="008D5F66" w:rsidRDefault="008D5F66">
    <w:pPr>
      <w:pStyle w:val="3-ColumnBS"/>
      <w:tabs>
        <w:tab w:val="clear" w:pos="6624"/>
        <w:tab w:val="clear" w:pos="8352"/>
      </w:tabs>
    </w:pPr>
    <w:r>
      <w:rPr>
        <w:b/>
        <w:bCs/>
        <w:sz w:val="28"/>
        <w:szCs w:val="28"/>
      </w:rPr>
      <w:t>KANE BIOTECH INC.</w:t>
    </w:r>
    <w:r>
      <w:tab/>
    </w:r>
    <w:r>
      <w:rPr>
        <w:noProof/>
      </w:rPr>
      <w:drawing>
        <wp:inline distT="0" distB="0" distL="0" distR="0" wp14:anchorId="1FB3BBF6" wp14:editId="4D3E9D37">
          <wp:extent cx="1061085" cy="43878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438785"/>
                  </a:xfrm>
                  <a:prstGeom prst="rect">
                    <a:avLst/>
                  </a:prstGeom>
                  <a:noFill/>
                </pic:spPr>
              </pic:pic>
            </a:graphicData>
          </a:graphic>
        </wp:inline>
      </w:drawing>
    </w:r>
  </w:p>
  <w:p w14:paraId="673226E3" w14:textId="77777777" w:rsidR="008D5F66" w:rsidRDefault="008D5F66">
    <w:pPr>
      <w:pStyle w:val="3-ColumnBS"/>
      <w:tabs>
        <w:tab w:val="clear" w:pos="6624"/>
        <w:tab w:val="clear" w:pos="8352"/>
        <w:tab w:val="clear" w:pos="10224"/>
      </w:tabs>
      <w:rPr>
        <w:b/>
        <w:bCs/>
      </w:rPr>
    </w:pPr>
    <w:r>
      <w:rPr>
        <w:b/>
        <w:bCs/>
      </w:rPr>
      <w:t>Interim Condensed Statement of Cash Flows</w:t>
    </w:r>
  </w:p>
  <w:p w14:paraId="0A0AC855" w14:textId="77777777" w:rsidR="008D5F66" w:rsidRPr="00323285" w:rsidRDefault="008D5F66">
    <w:pPr>
      <w:pStyle w:val="3-ColumnBS"/>
      <w:tabs>
        <w:tab w:val="clear" w:pos="6624"/>
        <w:tab w:val="clear" w:pos="8352"/>
        <w:tab w:val="clear" w:pos="10224"/>
      </w:tabs>
      <w:rPr>
        <w:b/>
      </w:rPr>
    </w:pPr>
    <w:r w:rsidRPr="00323285">
      <w:rPr>
        <w:b/>
      </w:rPr>
      <w:t>(unaudited)</w:t>
    </w:r>
  </w:p>
  <w:p w14:paraId="5AB40DA3" w14:textId="77777777" w:rsidR="008D5F66" w:rsidRDefault="008D5F66">
    <w:r>
      <w:rPr>
        <w:noProof/>
      </w:rPr>
      <mc:AlternateContent>
        <mc:Choice Requires="wps">
          <w:drawing>
            <wp:anchor distT="0" distB="0" distL="114300" distR="114300" simplePos="0" relativeHeight="251656192" behindDoc="0" locked="0" layoutInCell="0" allowOverlap="1" wp14:anchorId="76222071" wp14:editId="16438A9C">
              <wp:simplePos x="0" y="0"/>
              <wp:positionH relativeFrom="character">
                <wp:posOffset>0</wp:posOffset>
              </wp:positionH>
              <wp:positionV relativeFrom="paragraph">
                <wp:posOffset>57150</wp:posOffset>
              </wp:positionV>
              <wp:extent cx="6492240" cy="0"/>
              <wp:effectExtent l="9525"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8750" id="Line 2" o:spid="_x0000_s1026" style="position:absolute;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QI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" o:allowincell="f" strokeweight="1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F5A1" w14:textId="77777777" w:rsidR="008D5F66" w:rsidRDefault="008D5F66">
    <w:pPr>
      <w:pStyle w:val="3-ColumnBS"/>
      <w:tabs>
        <w:tab w:val="clear" w:pos="6624"/>
        <w:tab w:val="clear" w:pos="8352"/>
      </w:tabs>
    </w:pPr>
    <w:r>
      <w:rPr>
        <w:b/>
        <w:bCs/>
        <w:sz w:val="28"/>
        <w:szCs w:val="28"/>
      </w:rPr>
      <w:t>KANE BIOTECH INC.</w:t>
    </w:r>
    <w:r>
      <w:tab/>
    </w:r>
    <w:r>
      <w:rPr>
        <w:noProof/>
      </w:rPr>
      <w:drawing>
        <wp:inline distT="0" distB="0" distL="0" distR="0" wp14:anchorId="38294A61" wp14:editId="23173E90">
          <wp:extent cx="1061085" cy="43878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438785"/>
                  </a:xfrm>
                  <a:prstGeom prst="rect">
                    <a:avLst/>
                  </a:prstGeom>
                  <a:noFill/>
                </pic:spPr>
              </pic:pic>
            </a:graphicData>
          </a:graphic>
        </wp:inline>
      </w:drawing>
    </w:r>
  </w:p>
  <w:p w14:paraId="45E3030B" w14:textId="77777777" w:rsidR="008D5F66" w:rsidRDefault="008D5F66">
    <w:pPr>
      <w:pStyle w:val="3-ColumnBS"/>
      <w:tabs>
        <w:tab w:val="clear" w:pos="6624"/>
        <w:tab w:val="clear" w:pos="8352"/>
        <w:tab w:val="clear" w:pos="10224"/>
      </w:tabs>
      <w:rPr>
        <w:b/>
        <w:bCs/>
      </w:rPr>
    </w:pPr>
    <w:r>
      <w:rPr>
        <w:b/>
        <w:bCs/>
      </w:rPr>
      <w:t>Notes to the Financial Statements</w:t>
    </w:r>
  </w:p>
  <w:p w14:paraId="30F8A9DE" w14:textId="534421F8" w:rsidR="008D5F66" w:rsidRDefault="008D5F66">
    <w:pPr>
      <w:pStyle w:val="3-ColumnBS"/>
      <w:tabs>
        <w:tab w:val="clear" w:pos="6624"/>
        <w:tab w:val="clear" w:pos="8352"/>
        <w:tab w:val="clear" w:pos="10224"/>
      </w:tabs>
      <w:rPr>
        <w:b/>
        <w:bCs/>
      </w:rPr>
    </w:pPr>
    <w:r>
      <w:rPr>
        <w:b/>
        <w:bCs/>
      </w:rPr>
      <w:t>Six months ended June 30, 2017 and 2016</w:t>
    </w:r>
  </w:p>
  <w:p w14:paraId="4E998091" w14:textId="77777777" w:rsidR="008D5F66" w:rsidRDefault="008D5F66">
    <w:r>
      <w:rPr>
        <w:noProof/>
      </w:rPr>
      <mc:AlternateContent>
        <mc:Choice Requires="wps">
          <w:drawing>
            <wp:anchor distT="0" distB="0" distL="114300" distR="114300" simplePos="0" relativeHeight="251664384" behindDoc="0" locked="0" layoutInCell="0" allowOverlap="1" wp14:anchorId="4DC7CD30" wp14:editId="05179118">
              <wp:simplePos x="0" y="0"/>
              <wp:positionH relativeFrom="character">
                <wp:posOffset>0</wp:posOffset>
              </wp:positionH>
              <wp:positionV relativeFrom="paragraph">
                <wp:posOffset>57150</wp:posOffset>
              </wp:positionV>
              <wp:extent cx="6492240" cy="0"/>
              <wp:effectExtent l="9525" t="9525" r="1333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7446" id="Line 1" o:spid="_x0000_s1026" style="position:absolute;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7GEwIAACkEAAAOAAAAZHJzL2Uyb0RvYy54bWysU8uO2yAU3VfqPyD2iR91M4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"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8800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6CE2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DC0F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08D7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C26C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42B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E01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042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5E30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10A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DE20AAC"/>
    <w:lvl w:ilvl="0">
      <w:numFmt w:val="bullet"/>
      <w:lvlText w:val="*"/>
      <w:lvlJc w:val="left"/>
    </w:lvl>
  </w:abstractNum>
  <w:abstractNum w:abstractNumId="11" w15:restartNumberingAfterBreak="0">
    <w:nsid w:val="0793335B"/>
    <w:multiLevelType w:val="hybridMultilevel"/>
    <w:tmpl w:val="871249A4"/>
    <w:lvl w:ilvl="0" w:tplc="3B1C1A04">
      <w:start w:val="1"/>
      <w:numFmt w:val="lowerLetter"/>
      <w:lvlText w:val="(%1)"/>
      <w:lvlJc w:val="left"/>
      <w:pPr>
        <w:ind w:left="723" w:hanging="435"/>
      </w:pPr>
      <w:rPr>
        <w:rFonts w:hint="default"/>
      </w:rPr>
    </w:lvl>
    <w:lvl w:ilvl="1" w:tplc="10090019">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2" w15:restartNumberingAfterBreak="0">
    <w:nsid w:val="0A7F6491"/>
    <w:multiLevelType w:val="hybridMultilevel"/>
    <w:tmpl w:val="C2A61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CA35AB"/>
    <w:multiLevelType w:val="hybridMultilevel"/>
    <w:tmpl w:val="5C48CFA4"/>
    <w:lvl w:ilvl="0" w:tplc="E23C957C">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24411844"/>
    <w:multiLevelType w:val="hybridMultilevel"/>
    <w:tmpl w:val="F84C28C6"/>
    <w:lvl w:ilvl="0" w:tplc="C91CBD9E">
      <w:start w:val="1"/>
      <w:numFmt w:val="low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5" w15:restartNumberingAfterBreak="0">
    <w:nsid w:val="37F91839"/>
    <w:multiLevelType w:val="singleLevel"/>
    <w:tmpl w:val="C4AEC98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EBD0A74"/>
    <w:multiLevelType w:val="singleLevel"/>
    <w:tmpl w:val="FA2C24EA"/>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44855340"/>
    <w:multiLevelType w:val="hybridMultilevel"/>
    <w:tmpl w:val="859C49D4"/>
    <w:lvl w:ilvl="0" w:tplc="C37E65D8">
      <w:start w:val="4"/>
      <w:numFmt w:val="low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8" w15:restartNumberingAfterBreak="0">
    <w:nsid w:val="52C811B1"/>
    <w:multiLevelType w:val="hybridMultilevel"/>
    <w:tmpl w:val="4A6A5CF6"/>
    <w:lvl w:ilvl="0" w:tplc="9006A7C2">
      <w:start w:val="2"/>
      <w:numFmt w:val="low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9" w15:restartNumberingAfterBreak="0">
    <w:nsid w:val="5EAF1813"/>
    <w:multiLevelType w:val="hybridMultilevel"/>
    <w:tmpl w:val="AD4E0A16"/>
    <w:lvl w:ilvl="0" w:tplc="10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20" w15:restartNumberingAfterBreak="0">
    <w:nsid w:val="6B097753"/>
    <w:multiLevelType w:val="hybridMultilevel"/>
    <w:tmpl w:val="CA047E52"/>
    <w:lvl w:ilvl="0" w:tplc="074C5600">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6DF236F9"/>
    <w:multiLevelType w:val="hybridMultilevel"/>
    <w:tmpl w:val="799CDF62"/>
    <w:lvl w:ilvl="0" w:tplc="BB82EDC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61CA1"/>
    <w:multiLevelType w:val="hybridMultilevel"/>
    <w:tmpl w:val="816220E8"/>
    <w:lvl w:ilvl="0" w:tplc="EEC6CAF4">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0"/>
    <w:lvlOverride w:ilvl="0">
      <w:lvl w:ilvl="0">
        <w:numFmt w:val="bullet"/>
        <w:lvlText w:val=""/>
        <w:legacy w:legacy="1" w:legacySpace="0" w:legacyIndent="720"/>
        <w:lvlJc w:val="left"/>
        <w:rPr>
          <w:rFonts w:ascii="Symbol" w:hAnsi="Symbol" w:hint="default"/>
          <w:color w:val="000000"/>
        </w:rPr>
      </w:lvl>
    </w:lvlOverride>
  </w:num>
  <w:num w:numId="2">
    <w:abstractNumId w:val="14"/>
  </w:num>
  <w:num w:numId="3">
    <w:abstractNumId w:val="18"/>
  </w:num>
  <w:num w:numId="4">
    <w:abstractNumId w:val="1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20"/>
  </w:num>
  <w:num w:numId="19">
    <w:abstractNumId w:val="16"/>
  </w:num>
  <w:num w:numId="20">
    <w:abstractNumId w:val="15"/>
  </w:num>
  <w:num w:numId="21">
    <w:abstractNumId w:val="12"/>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B5"/>
    <w:rsid w:val="000013E0"/>
    <w:rsid w:val="00004B05"/>
    <w:rsid w:val="0000501D"/>
    <w:rsid w:val="000060FE"/>
    <w:rsid w:val="00011615"/>
    <w:rsid w:val="0001260D"/>
    <w:rsid w:val="00012A51"/>
    <w:rsid w:val="00012D7D"/>
    <w:rsid w:val="000159A9"/>
    <w:rsid w:val="00016701"/>
    <w:rsid w:val="00020296"/>
    <w:rsid w:val="00020692"/>
    <w:rsid w:val="000229BA"/>
    <w:rsid w:val="00023DAB"/>
    <w:rsid w:val="000271DB"/>
    <w:rsid w:val="00034D5E"/>
    <w:rsid w:val="0003590D"/>
    <w:rsid w:val="00037D0A"/>
    <w:rsid w:val="000400DC"/>
    <w:rsid w:val="00040488"/>
    <w:rsid w:val="000416C1"/>
    <w:rsid w:val="00041907"/>
    <w:rsid w:val="00042615"/>
    <w:rsid w:val="00043182"/>
    <w:rsid w:val="00045084"/>
    <w:rsid w:val="00045783"/>
    <w:rsid w:val="00047E36"/>
    <w:rsid w:val="00052C72"/>
    <w:rsid w:val="000536CC"/>
    <w:rsid w:val="00053B3D"/>
    <w:rsid w:val="00053BDF"/>
    <w:rsid w:val="000579B4"/>
    <w:rsid w:val="00057F87"/>
    <w:rsid w:val="00061EB0"/>
    <w:rsid w:val="00062D92"/>
    <w:rsid w:val="000630F5"/>
    <w:rsid w:val="000632C4"/>
    <w:rsid w:val="0006337C"/>
    <w:rsid w:val="00065AF6"/>
    <w:rsid w:val="00066449"/>
    <w:rsid w:val="00067108"/>
    <w:rsid w:val="00067991"/>
    <w:rsid w:val="00072E7A"/>
    <w:rsid w:val="0007561B"/>
    <w:rsid w:val="00081A8F"/>
    <w:rsid w:val="000828E6"/>
    <w:rsid w:val="00085602"/>
    <w:rsid w:val="00087EAD"/>
    <w:rsid w:val="000913CF"/>
    <w:rsid w:val="00092CE9"/>
    <w:rsid w:val="00095331"/>
    <w:rsid w:val="000A2B88"/>
    <w:rsid w:val="000A2DCD"/>
    <w:rsid w:val="000A3AA6"/>
    <w:rsid w:val="000A6B86"/>
    <w:rsid w:val="000A6CED"/>
    <w:rsid w:val="000B0309"/>
    <w:rsid w:val="000B263A"/>
    <w:rsid w:val="000B51AD"/>
    <w:rsid w:val="000B7B76"/>
    <w:rsid w:val="000C1C33"/>
    <w:rsid w:val="000C2CF6"/>
    <w:rsid w:val="000C2EEC"/>
    <w:rsid w:val="000C39A6"/>
    <w:rsid w:val="000C4ED1"/>
    <w:rsid w:val="000C578D"/>
    <w:rsid w:val="000C6F80"/>
    <w:rsid w:val="000C7591"/>
    <w:rsid w:val="000D0766"/>
    <w:rsid w:val="000D0A6B"/>
    <w:rsid w:val="000D248B"/>
    <w:rsid w:val="000D2720"/>
    <w:rsid w:val="000D2784"/>
    <w:rsid w:val="000D2B19"/>
    <w:rsid w:val="000D2C58"/>
    <w:rsid w:val="000D5E69"/>
    <w:rsid w:val="000D5E85"/>
    <w:rsid w:val="000D6D3D"/>
    <w:rsid w:val="000D76A1"/>
    <w:rsid w:val="000E2119"/>
    <w:rsid w:val="000E265A"/>
    <w:rsid w:val="000E5642"/>
    <w:rsid w:val="000E590D"/>
    <w:rsid w:val="000F0F7A"/>
    <w:rsid w:val="000F17A9"/>
    <w:rsid w:val="000F46AA"/>
    <w:rsid w:val="000F4ACB"/>
    <w:rsid w:val="000F5F21"/>
    <w:rsid w:val="000F68FF"/>
    <w:rsid w:val="000F79A8"/>
    <w:rsid w:val="00102F76"/>
    <w:rsid w:val="00102FFC"/>
    <w:rsid w:val="00103300"/>
    <w:rsid w:val="0010757D"/>
    <w:rsid w:val="00107ECC"/>
    <w:rsid w:val="00112F70"/>
    <w:rsid w:val="00113DD4"/>
    <w:rsid w:val="00114B83"/>
    <w:rsid w:val="00120239"/>
    <w:rsid w:val="0012058B"/>
    <w:rsid w:val="00122550"/>
    <w:rsid w:val="00122DE1"/>
    <w:rsid w:val="00126035"/>
    <w:rsid w:val="0013126D"/>
    <w:rsid w:val="00134C29"/>
    <w:rsid w:val="001354F5"/>
    <w:rsid w:val="001405E4"/>
    <w:rsid w:val="001426BA"/>
    <w:rsid w:val="00144502"/>
    <w:rsid w:val="001451B5"/>
    <w:rsid w:val="0014541E"/>
    <w:rsid w:val="001468EB"/>
    <w:rsid w:val="00147D24"/>
    <w:rsid w:val="00151CFF"/>
    <w:rsid w:val="00153250"/>
    <w:rsid w:val="001541F9"/>
    <w:rsid w:val="00154B86"/>
    <w:rsid w:val="00157F6B"/>
    <w:rsid w:val="0016052A"/>
    <w:rsid w:val="001628B0"/>
    <w:rsid w:val="00167A6A"/>
    <w:rsid w:val="0017272F"/>
    <w:rsid w:val="001827A5"/>
    <w:rsid w:val="00190ADC"/>
    <w:rsid w:val="00192ACD"/>
    <w:rsid w:val="00194269"/>
    <w:rsid w:val="001942B6"/>
    <w:rsid w:val="0019433F"/>
    <w:rsid w:val="001A0397"/>
    <w:rsid w:val="001A06C0"/>
    <w:rsid w:val="001A0E01"/>
    <w:rsid w:val="001A22E4"/>
    <w:rsid w:val="001A2907"/>
    <w:rsid w:val="001A3561"/>
    <w:rsid w:val="001A4BA7"/>
    <w:rsid w:val="001A6B4F"/>
    <w:rsid w:val="001A7768"/>
    <w:rsid w:val="001B0D0E"/>
    <w:rsid w:val="001B4363"/>
    <w:rsid w:val="001B479C"/>
    <w:rsid w:val="001B5135"/>
    <w:rsid w:val="001B7793"/>
    <w:rsid w:val="001C08FC"/>
    <w:rsid w:val="001C0D98"/>
    <w:rsid w:val="001C199F"/>
    <w:rsid w:val="001D0B02"/>
    <w:rsid w:val="001D3215"/>
    <w:rsid w:val="001D32EA"/>
    <w:rsid w:val="001E1900"/>
    <w:rsid w:val="001F003D"/>
    <w:rsid w:val="001F02C2"/>
    <w:rsid w:val="001F2A5A"/>
    <w:rsid w:val="001F3E98"/>
    <w:rsid w:val="001F450D"/>
    <w:rsid w:val="001F61FC"/>
    <w:rsid w:val="001F7258"/>
    <w:rsid w:val="00200E17"/>
    <w:rsid w:val="002017AB"/>
    <w:rsid w:val="00202506"/>
    <w:rsid w:val="00203D23"/>
    <w:rsid w:val="00203D80"/>
    <w:rsid w:val="0020730A"/>
    <w:rsid w:val="00207EDC"/>
    <w:rsid w:val="00217FA2"/>
    <w:rsid w:val="002206C9"/>
    <w:rsid w:val="00220A05"/>
    <w:rsid w:val="00224478"/>
    <w:rsid w:val="00224873"/>
    <w:rsid w:val="0022546F"/>
    <w:rsid w:val="00233A81"/>
    <w:rsid w:val="00234A12"/>
    <w:rsid w:val="00236AEF"/>
    <w:rsid w:val="0024081E"/>
    <w:rsid w:val="002410B5"/>
    <w:rsid w:val="002414A8"/>
    <w:rsid w:val="002418B5"/>
    <w:rsid w:val="00244CE1"/>
    <w:rsid w:val="00245D39"/>
    <w:rsid w:val="002460D1"/>
    <w:rsid w:val="00250B0D"/>
    <w:rsid w:val="00251733"/>
    <w:rsid w:val="002600ED"/>
    <w:rsid w:val="00263A77"/>
    <w:rsid w:val="00264A87"/>
    <w:rsid w:val="00265483"/>
    <w:rsid w:val="00266507"/>
    <w:rsid w:val="0027146D"/>
    <w:rsid w:val="0027215A"/>
    <w:rsid w:val="00273496"/>
    <w:rsid w:val="00275D26"/>
    <w:rsid w:val="00276215"/>
    <w:rsid w:val="0028138D"/>
    <w:rsid w:val="0028398B"/>
    <w:rsid w:val="002868B0"/>
    <w:rsid w:val="00290B6E"/>
    <w:rsid w:val="00291274"/>
    <w:rsid w:val="002927A5"/>
    <w:rsid w:val="0029295E"/>
    <w:rsid w:val="00295B5B"/>
    <w:rsid w:val="0029652F"/>
    <w:rsid w:val="00297765"/>
    <w:rsid w:val="002A22A0"/>
    <w:rsid w:val="002A56EB"/>
    <w:rsid w:val="002A7F36"/>
    <w:rsid w:val="002B150B"/>
    <w:rsid w:val="002B1AD1"/>
    <w:rsid w:val="002B207F"/>
    <w:rsid w:val="002B66FA"/>
    <w:rsid w:val="002C1750"/>
    <w:rsid w:val="002C64FB"/>
    <w:rsid w:val="002D090E"/>
    <w:rsid w:val="002D0D05"/>
    <w:rsid w:val="002D586A"/>
    <w:rsid w:val="002D6491"/>
    <w:rsid w:val="002D6DCD"/>
    <w:rsid w:val="002E0300"/>
    <w:rsid w:val="002E36F7"/>
    <w:rsid w:val="002E6352"/>
    <w:rsid w:val="002E6B04"/>
    <w:rsid w:val="002E746A"/>
    <w:rsid w:val="002F0DE1"/>
    <w:rsid w:val="002F3F69"/>
    <w:rsid w:val="002F43E3"/>
    <w:rsid w:val="00300396"/>
    <w:rsid w:val="003011EF"/>
    <w:rsid w:val="003038AF"/>
    <w:rsid w:val="003126FB"/>
    <w:rsid w:val="003145EA"/>
    <w:rsid w:val="003162EB"/>
    <w:rsid w:val="003169CD"/>
    <w:rsid w:val="00316B38"/>
    <w:rsid w:val="00316CB7"/>
    <w:rsid w:val="00316F5D"/>
    <w:rsid w:val="00317815"/>
    <w:rsid w:val="00320587"/>
    <w:rsid w:val="00321597"/>
    <w:rsid w:val="0032270E"/>
    <w:rsid w:val="00323285"/>
    <w:rsid w:val="00324232"/>
    <w:rsid w:val="00324647"/>
    <w:rsid w:val="0032657F"/>
    <w:rsid w:val="00327003"/>
    <w:rsid w:val="00327519"/>
    <w:rsid w:val="00330601"/>
    <w:rsid w:val="00332662"/>
    <w:rsid w:val="00332960"/>
    <w:rsid w:val="00333C1D"/>
    <w:rsid w:val="0033411C"/>
    <w:rsid w:val="003355B4"/>
    <w:rsid w:val="00336C2F"/>
    <w:rsid w:val="00341BDE"/>
    <w:rsid w:val="00341E41"/>
    <w:rsid w:val="00344269"/>
    <w:rsid w:val="00344DF7"/>
    <w:rsid w:val="00346B1E"/>
    <w:rsid w:val="003506D7"/>
    <w:rsid w:val="003520E8"/>
    <w:rsid w:val="00360FED"/>
    <w:rsid w:val="0036259D"/>
    <w:rsid w:val="00364107"/>
    <w:rsid w:val="00364334"/>
    <w:rsid w:val="0037007E"/>
    <w:rsid w:val="003706A4"/>
    <w:rsid w:val="003715C4"/>
    <w:rsid w:val="0037419D"/>
    <w:rsid w:val="003755A9"/>
    <w:rsid w:val="0037722D"/>
    <w:rsid w:val="003828FB"/>
    <w:rsid w:val="003864F3"/>
    <w:rsid w:val="003869A8"/>
    <w:rsid w:val="00387051"/>
    <w:rsid w:val="0038709F"/>
    <w:rsid w:val="003935CE"/>
    <w:rsid w:val="00395C43"/>
    <w:rsid w:val="003A1CDB"/>
    <w:rsid w:val="003A24A1"/>
    <w:rsid w:val="003A2591"/>
    <w:rsid w:val="003A5D45"/>
    <w:rsid w:val="003A7993"/>
    <w:rsid w:val="003B1595"/>
    <w:rsid w:val="003B3627"/>
    <w:rsid w:val="003B5014"/>
    <w:rsid w:val="003C1F6D"/>
    <w:rsid w:val="003C64A0"/>
    <w:rsid w:val="003C6A6F"/>
    <w:rsid w:val="003D2F3A"/>
    <w:rsid w:val="003D3153"/>
    <w:rsid w:val="003D587E"/>
    <w:rsid w:val="003E3BB1"/>
    <w:rsid w:val="003E3FAA"/>
    <w:rsid w:val="003E42F9"/>
    <w:rsid w:val="003F0432"/>
    <w:rsid w:val="003F3043"/>
    <w:rsid w:val="003F4E83"/>
    <w:rsid w:val="003F7318"/>
    <w:rsid w:val="00404B0E"/>
    <w:rsid w:val="00405E3A"/>
    <w:rsid w:val="0040763B"/>
    <w:rsid w:val="00412275"/>
    <w:rsid w:val="00414841"/>
    <w:rsid w:val="00417069"/>
    <w:rsid w:val="0042180B"/>
    <w:rsid w:val="00422D09"/>
    <w:rsid w:val="00424B04"/>
    <w:rsid w:val="00431E16"/>
    <w:rsid w:val="004329AF"/>
    <w:rsid w:val="004334A8"/>
    <w:rsid w:val="00436A78"/>
    <w:rsid w:val="00440028"/>
    <w:rsid w:val="00440BFC"/>
    <w:rsid w:val="0044118A"/>
    <w:rsid w:val="0044219A"/>
    <w:rsid w:val="004423D4"/>
    <w:rsid w:val="004432F2"/>
    <w:rsid w:val="00445670"/>
    <w:rsid w:val="0044613D"/>
    <w:rsid w:val="00446823"/>
    <w:rsid w:val="004539F8"/>
    <w:rsid w:val="00457844"/>
    <w:rsid w:val="004579E2"/>
    <w:rsid w:val="00461B02"/>
    <w:rsid w:val="00463671"/>
    <w:rsid w:val="0046424A"/>
    <w:rsid w:val="004644D3"/>
    <w:rsid w:val="004648D1"/>
    <w:rsid w:val="004658B3"/>
    <w:rsid w:val="00466761"/>
    <w:rsid w:val="00471493"/>
    <w:rsid w:val="00471786"/>
    <w:rsid w:val="00475A3A"/>
    <w:rsid w:val="00475BF2"/>
    <w:rsid w:val="0048176A"/>
    <w:rsid w:val="004822D4"/>
    <w:rsid w:val="004948C0"/>
    <w:rsid w:val="00495953"/>
    <w:rsid w:val="00496E55"/>
    <w:rsid w:val="00497A59"/>
    <w:rsid w:val="004A027E"/>
    <w:rsid w:val="004A20D1"/>
    <w:rsid w:val="004B3B8C"/>
    <w:rsid w:val="004B5D56"/>
    <w:rsid w:val="004B6B17"/>
    <w:rsid w:val="004C080D"/>
    <w:rsid w:val="004C11A8"/>
    <w:rsid w:val="004C28CA"/>
    <w:rsid w:val="004C4116"/>
    <w:rsid w:val="004D071D"/>
    <w:rsid w:val="004D288E"/>
    <w:rsid w:val="004D37C6"/>
    <w:rsid w:val="004D4AB4"/>
    <w:rsid w:val="004D56A1"/>
    <w:rsid w:val="004D5EAA"/>
    <w:rsid w:val="004D6131"/>
    <w:rsid w:val="004E2502"/>
    <w:rsid w:val="004E27F4"/>
    <w:rsid w:val="004E40C1"/>
    <w:rsid w:val="004E4196"/>
    <w:rsid w:val="004E5C53"/>
    <w:rsid w:val="004E788F"/>
    <w:rsid w:val="004E7F38"/>
    <w:rsid w:val="004F00D6"/>
    <w:rsid w:val="004F175A"/>
    <w:rsid w:val="004F3BB9"/>
    <w:rsid w:val="00500511"/>
    <w:rsid w:val="00501394"/>
    <w:rsid w:val="00504118"/>
    <w:rsid w:val="00507ACF"/>
    <w:rsid w:val="00510243"/>
    <w:rsid w:val="00511994"/>
    <w:rsid w:val="00511AEC"/>
    <w:rsid w:val="00511F74"/>
    <w:rsid w:val="0051517C"/>
    <w:rsid w:val="00516538"/>
    <w:rsid w:val="005165D5"/>
    <w:rsid w:val="00517743"/>
    <w:rsid w:val="005218AA"/>
    <w:rsid w:val="005254B8"/>
    <w:rsid w:val="005266A6"/>
    <w:rsid w:val="00526746"/>
    <w:rsid w:val="0052701D"/>
    <w:rsid w:val="005308F8"/>
    <w:rsid w:val="0053211B"/>
    <w:rsid w:val="0053350A"/>
    <w:rsid w:val="00536AD4"/>
    <w:rsid w:val="0054505C"/>
    <w:rsid w:val="00545498"/>
    <w:rsid w:val="0055027D"/>
    <w:rsid w:val="005538E7"/>
    <w:rsid w:val="00554A59"/>
    <w:rsid w:val="00557817"/>
    <w:rsid w:val="00561A40"/>
    <w:rsid w:val="0056269C"/>
    <w:rsid w:val="00563B04"/>
    <w:rsid w:val="00563FDE"/>
    <w:rsid w:val="00566209"/>
    <w:rsid w:val="00566B10"/>
    <w:rsid w:val="00574212"/>
    <w:rsid w:val="00575AF0"/>
    <w:rsid w:val="00576AA5"/>
    <w:rsid w:val="005776E1"/>
    <w:rsid w:val="0058229D"/>
    <w:rsid w:val="00582C15"/>
    <w:rsid w:val="00584962"/>
    <w:rsid w:val="00591ED4"/>
    <w:rsid w:val="005938C8"/>
    <w:rsid w:val="00594177"/>
    <w:rsid w:val="005A1F9D"/>
    <w:rsid w:val="005A2FE2"/>
    <w:rsid w:val="005A6400"/>
    <w:rsid w:val="005A6813"/>
    <w:rsid w:val="005A6C57"/>
    <w:rsid w:val="005A7F4D"/>
    <w:rsid w:val="005B4CB3"/>
    <w:rsid w:val="005B5F60"/>
    <w:rsid w:val="005C311F"/>
    <w:rsid w:val="005C727F"/>
    <w:rsid w:val="005C7E58"/>
    <w:rsid w:val="005E1AB5"/>
    <w:rsid w:val="005E2A55"/>
    <w:rsid w:val="005E4809"/>
    <w:rsid w:val="005E5205"/>
    <w:rsid w:val="005E5C0D"/>
    <w:rsid w:val="005E6BB8"/>
    <w:rsid w:val="005E7346"/>
    <w:rsid w:val="005F009A"/>
    <w:rsid w:val="005F73B3"/>
    <w:rsid w:val="005F77B5"/>
    <w:rsid w:val="0060171F"/>
    <w:rsid w:val="0060478B"/>
    <w:rsid w:val="00604803"/>
    <w:rsid w:val="00614A34"/>
    <w:rsid w:val="00614F24"/>
    <w:rsid w:val="006166AB"/>
    <w:rsid w:val="006249AE"/>
    <w:rsid w:val="00630D89"/>
    <w:rsid w:val="00637CAA"/>
    <w:rsid w:val="00640B92"/>
    <w:rsid w:val="006419A4"/>
    <w:rsid w:val="00641D1D"/>
    <w:rsid w:val="00646341"/>
    <w:rsid w:val="0065244A"/>
    <w:rsid w:val="00652503"/>
    <w:rsid w:val="00653D02"/>
    <w:rsid w:val="006577EA"/>
    <w:rsid w:val="00657FFD"/>
    <w:rsid w:val="006609F2"/>
    <w:rsid w:val="006666CA"/>
    <w:rsid w:val="00666BAB"/>
    <w:rsid w:val="006670E2"/>
    <w:rsid w:val="006703BA"/>
    <w:rsid w:val="0067530B"/>
    <w:rsid w:val="006809F4"/>
    <w:rsid w:val="006816FE"/>
    <w:rsid w:val="00682787"/>
    <w:rsid w:val="006838C1"/>
    <w:rsid w:val="00686785"/>
    <w:rsid w:val="00686FED"/>
    <w:rsid w:val="00692048"/>
    <w:rsid w:val="006934A8"/>
    <w:rsid w:val="00693DDB"/>
    <w:rsid w:val="0069478D"/>
    <w:rsid w:val="00695556"/>
    <w:rsid w:val="00696EAA"/>
    <w:rsid w:val="0069712A"/>
    <w:rsid w:val="006A1736"/>
    <w:rsid w:val="006A2A9D"/>
    <w:rsid w:val="006A2CEF"/>
    <w:rsid w:val="006A454E"/>
    <w:rsid w:val="006A470E"/>
    <w:rsid w:val="006A7643"/>
    <w:rsid w:val="006A7AA2"/>
    <w:rsid w:val="006B091B"/>
    <w:rsid w:val="006B21A4"/>
    <w:rsid w:val="006B43D9"/>
    <w:rsid w:val="006B6D10"/>
    <w:rsid w:val="006B6DA3"/>
    <w:rsid w:val="006B742B"/>
    <w:rsid w:val="006C1FD9"/>
    <w:rsid w:val="006C2489"/>
    <w:rsid w:val="006C2D5F"/>
    <w:rsid w:val="006C42C7"/>
    <w:rsid w:val="006C4EFD"/>
    <w:rsid w:val="006C50F8"/>
    <w:rsid w:val="006D0351"/>
    <w:rsid w:val="006D64A2"/>
    <w:rsid w:val="006D67C3"/>
    <w:rsid w:val="006D73A3"/>
    <w:rsid w:val="006E4730"/>
    <w:rsid w:val="006F13C6"/>
    <w:rsid w:val="006F18F3"/>
    <w:rsid w:val="006F5CD7"/>
    <w:rsid w:val="006F7F01"/>
    <w:rsid w:val="00703917"/>
    <w:rsid w:val="007053C7"/>
    <w:rsid w:val="00710178"/>
    <w:rsid w:val="0071066E"/>
    <w:rsid w:val="0071136D"/>
    <w:rsid w:val="00712237"/>
    <w:rsid w:val="007125B5"/>
    <w:rsid w:val="007143C9"/>
    <w:rsid w:val="007172FC"/>
    <w:rsid w:val="00720436"/>
    <w:rsid w:val="00721E25"/>
    <w:rsid w:val="00726520"/>
    <w:rsid w:val="0073144A"/>
    <w:rsid w:val="007327FA"/>
    <w:rsid w:val="00732DD1"/>
    <w:rsid w:val="00732EB9"/>
    <w:rsid w:val="00734E73"/>
    <w:rsid w:val="00735E16"/>
    <w:rsid w:val="00742B68"/>
    <w:rsid w:val="00742E7F"/>
    <w:rsid w:val="0074557B"/>
    <w:rsid w:val="0074750D"/>
    <w:rsid w:val="007538E9"/>
    <w:rsid w:val="00754101"/>
    <w:rsid w:val="00754BEE"/>
    <w:rsid w:val="00756A24"/>
    <w:rsid w:val="00761958"/>
    <w:rsid w:val="00761CC5"/>
    <w:rsid w:val="007653BD"/>
    <w:rsid w:val="00765AFB"/>
    <w:rsid w:val="00770899"/>
    <w:rsid w:val="00770C73"/>
    <w:rsid w:val="0077350B"/>
    <w:rsid w:val="00773FDB"/>
    <w:rsid w:val="007742A5"/>
    <w:rsid w:val="00781858"/>
    <w:rsid w:val="00782AE8"/>
    <w:rsid w:val="0078649E"/>
    <w:rsid w:val="0078685A"/>
    <w:rsid w:val="00790FCF"/>
    <w:rsid w:val="00792A6E"/>
    <w:rsid w:val="00794D60"/>
    <w:rsid w:val="007A0514"/>
    <w:rsid w:val="007A09C0"/>
    <w:rsid w:val="007A3F01"/>
    <w:rsid w:val="007A5525"/>
    <w:rsid w:val="007A5FCB"/>
    <w:rsid w:val="007A6254"/>
    <w:rsid w:val="007A62BF"/>
    <w:rsid w:val="007C110A"/>
    <w:rsid w:val="007C225D"/>
    <w:rsid w:val="007C28FE"/>
    <w:rsid w:val="007D3428"/>
    <w:rsid w:val="007D422E"/>
    <w:rsid w:val="007E17B2"/>
    <w:rsid w:val="007E335D"/>
    <w:rsid w:val="007E5862"/>
    <w:rsid w:val="007F19FC"/>
    <w:rsid w:val="007F2330"/>
    <w:rsid w:val="007F3729"/>
    <w:rsid w:val="007F375A"/>
    <w:rsid w:val="007F38DC"/>
    <w:rsid w:val="007F4020"/>
    <w:rsid w:val="007F5459"/>
    <w:rsid w:val="0080015A"/>
    <w:rsid w:val="00801F41"/>
    <w:rsid w:val="00802513"/>
    <w:rsid w:val="00805659"/>
    <w:rsid w:val="00805AB4"/>
    <w:rsid w:val="00805FEA"/>
    <w:rsid w:val="008128FF"/>
    <w:rsid w:val="00813543"/>
    <w:rsid w:val="00816B5A"/>
    <w:rsid w:val="008170E2"/>
    <w:rsid w:val="008179C1"/>
    <w:rsid w:val="00821972"/>
    <w:rsid w:val="0082305D"/>
    <w:rsid w:val="00825AD2"/>
    <w:rsid w:val="008310A7"/>
    <w:rsid w:val="00834B82"/>
    <w:rsid w:val="00835187"/>
    <w:rsid w:val="00840A02"/>
    <w:rsid w:val="008417F4"/>
    <w:rsid w:val="0084361F"/>
    <w:rsid w:val="0084467B"/>
    <w:rsid w:val="008470A8"/>
    <w:rsid w:val="0085283A"/>
    <w:rsid w:val="00852DC6"/>
    <w:rsid w:val="00853B89"/>
    <w:rsid w:val="00854C54"/>
    <w:rsid w:val="00854E00"/>
    <w:rsid w:val="00855387"/>
    <w:rsid w:val="008600EE"/>
    <w:rsid w:val="00862E5C"/>
    <w:rsid w:val="00864FAD"/>
    <w:rsid w:val="0086547D"/>
    <w:rsid w:val="0086755E"/>
    <w:rsid w:val="00867D92"/>
    <w:rsid w:val="0087037D"/>
    <w:rsid w:val="00873DA3"/>
    <w:rsid w:val="00875B84"/>
    <w:rsid w:val="008765F2"/>
    <w:rsid w:val="00876DAA"/>
    <w:rsid w:val="00880654"/>
    <w:rsid w:val="00884D78"/>
    <w:rsid w:val="00890603"/>
    <w:rsid w:val="00890EC8"/>
    <w:rsid w:val="00892113"/>
    <w:rsid w:val="00896E19"/>
    <w:rsid w:val="008A1EE6"/>
    <w:rsid w:val="008A2FF5"/>
    <w:rsid w:val="008A3376"/>
    <w:rsid w:val="008A5AB5"/>
    <w:rsid w:val="008B0464"/>
    <w:rsid w:val="008B0944"/>
    <w:rsid w:val="008B0C5A"/>
    <w:rsid w:val="008B2981"/>
    <w:rsid w:val="008B3106"/>
    <w:rsid w:val="008B44E8"/>
    <w:rsid w:val="008C1908"/>
    <w:rsid w:val="008C1FA7"/>
    <w:rsid w:val="008C4C33"/>
    <w:rsid w:val="008D2A00"/>
    <w:rsid w:val="008D5A5D"/>
    <w:rsid w:val="008D5F66"/>
    <w:rsid w:val="008D7047"/>
    <w:rsid w:val="008D7800"/>
    <w:rsid w:val="008E24F0"/>
    <w:rsid w:val="008E415F"/>
    <w:rsid w:val="008E4285"/>
    <w:rsid w:val="008E7ADE"/>
    <w:rsid w:val="008F434B"/>
    <w:rsid w:val="008F5496"/>
    <w:rsid w:val="008F61DC"/>
    <w:rsid w:val="009009DF"/>
    <w:rsid w:val="00900E3E"/>
    <w:rsid w:val="0090239F"/>
    <w:rsid w:val="009025B4"/>
    <w:rsid w:val="00902906"/>
    <w:rsid w:val="009046C7"/>
    <w:rsid w:val="00904DD9"/>
    <w:rsid w:val="00907D81"/>
    <w:rsid w:val="009109EF"/>
    <w:rsid w:val="0091139E"/>
    <w:rsid w:val="009200A5"/>
    <w:rsid w:val="00920BCC"/>
    <w:rsid w:val="00920CFB"/>
    <w:rsid w:val="00921FBF"/>
    <w:rsid w:val="00930C6E"/>
    <w:rsid w:val="00931191"/>
    <w:rsid w:val="00932CCB"/>
    <w:rsid w:val="00932E0E"/>
    <w:rsid w:val="00935493"/>
    <w:rsid w:val="00937A18"/>
    <w:rsid w:val="00941F8C"/>
    <w:rsid w:val="009420D3"/>
    <w:rsid w:val="009431DF"/>
    <w:rsid w:val="00944C2E"/>
    <w:rsid w:val="00950A0A"/>
    <w:rsid w:val="00950E74"/>
    <w:rsid w:val="009518F4"/>
    <w:rsid w:val="00953BA2"/>
    <w:rsid w:val="00953C9E"/>
    <w:rsid w:val="00963E2A"/>
    <w:rsid w:val="00963E90"/>
    <w:rsid w:val="009700F6"/>
    <w:rsid w:val="00971F65"/>
    <w:rsid w:val="00974193"/>
    <w:rsid w:val="00976FC9"/>
    <w:rsid w:val="009825FA"/>
    <w:rsid w:val="00985BE5"/>
    <w:rsid w:val="00991918"/>
    <w:rsid w:val="00997AE2"/>
    <w:rsid w:val="009A3015"/>
    <w:rsid w:val="009A36C2"/>
    <w:rsid w:val="009A45DC"/>
    <w:rsid w:val="009A6452"/>
    <w:rsid w:val="009A7C25"/>
    <w:rsid w:val="009B17AF"/>
    <w:rsid w:val="009B475F"/>
    <w:rsid w:val="009B4803"/>
    <w:rsid w:val="009B7598"/>
    <w:rsid w:val="009B7ED2"/>
    <w:rsid w:val="009D056B"/>
    <w:rsid w:val="009E0CED"/>
    <w:rsid w:val="009F3773"/>
    <w:rsid w:val="009F4A05"/>
    <w:rsid w:val="009F7FDE"/>
    <w:rsid w:val="00A00E1E"/>
    <w:rsid w:val="00A05757"/>
    <w:rsid w:val="00A059F0"/>
    <w:rsid w:val="00A10152"/>
    <w:rsid w:val="00A141B2"/>
    <w:rsid w:val="00A15DCC"/>
    <w:rsid w:val="00A20DA1"/>
    <w:rsid w:val="00A20EA5"/>
    <w:rsid w:val="00A23F8C"/>
    <w:rsid w:val="00A242B7"/>
    <w:rsid w:val="00A33A73"/>
    <w:rsid w:val="00A33BE2"/>
    <w:rsid w:val="00A359B2"/>
    <w:rsid w:val="00A42912"/>
    <w:rsid w:val="00A433A2"/>
    <w:rsid w:val="00A44A9B"/>
    <w:rsid w:val="00A529B6"/>
    <w:rsid w:val="00A529B9"/>
    <w:rsid w:val="00A5495F"/>
    <w:rsid w:val="00A55CD7"/>
    <w:rsid w:val="00A6261D"/>
    <w:rsid w:val="00A63334"/>
    <w:rsid w:val="00A708F8"/>
    <w:rsid w:val="00A70E61"/>
    <w:rsid w:val="00A711EF"/>
    <w:rsid w:val="00A777B3"/>
    <w:rsid w:val="00A80889"/>
    <w:rsid w:val="00A81838"/>
    <w:rsid w:val="00A81E77"/>
    <w:rsid w:val="00A85D68"/>
    <w:rsid w:val="00A86FA8"/>
    <w:rsid w:val="00A901EB"/>
    <w:rsid w:val="00A95E87"/>
    <w:rsid w:val="00A96FA2"/>
    <w:rsid w:val="00A97970"/>
    <w:rsid w:val="00AA09D5"/>
    <w:rsid w:val="00AA1A40"/>
    <w:rsid w:val="00AA26D8"/>
    <w:rsid w:val="00AA478D"/>
    <w:rsid w:val="00AA61F3"/>
    <w:rsid w:val="00AB7AF7"/>
    <w:rsid w:val="00AC0FB8"/>
    <w:rsid w:val="00AC1F6B"/>
    <w:rsid w:val="00AC2916"/>
    <w:rsid w:val="00AC34C6"/>
    <w:rsid w:val="00AC6CFA"/>
    <w:rsid w:val="00AD1805"/>
    <w:rsid w:val="00AD2564"/>
    <w:rsid w:val="00AD7A66"/>
    <w:rsid w:val="00AD7AF6"/>
    <w:rsid w:val="00AE0FD1"/>
    <w:rsid w:val="00AE2F71"/>
    <w:rsid w:val="00AE485A"/>
    <w:rsid w:val="00AF17AB"/>
    <w:rsid w:val="00AF2566"/>
    <w:rsid w:val="00AF4316"/>
    <w:rsid w:val="00AF6498"/>
    <w:rsid w:val="00AF7567"/>
    <w:rsid w:val="00B06B61"/>
    <w:rsid w:val="00B06C13"/>
    <w:rsid w:val="00B07DDF"/>
    <w:rsid w:val="00B10885"/>
    <w:rsid w:val="00B10DA5"/>
    <w:rsid w:val="00B11FDC"/>
    <w:rsid w:val="00B12C13"/>
    <w:rsid w:val="00B13476"/>
    <w:rsid w:val="00B151BD"/>
    <w:rsid w:val="00B1615A"/>
    <w:rsid w:val="00B24C25"/>
    <w:rsid w:val="00B330A6"/>
    <w:rsid w:val="00B41817"/>
    <w:rsid w:val="00B44B5D"/>
    <w:rsid w:val="00B4658A"/>
    <w:rsid w:val="00B47455"/>
    <w:rsid w:val="00B607CD"/>
    <w:rsid w:val="00B619EB"/>
    <w:rsid w:val="00B63724"/>
    <w:rsid w:val="00B66D92"/>
    <w:rsid w:val="00B670BD"/>
    <w:rsid w:val="00B707B4"/>
    <w:rsid w:val="00B70F80"/>
    <w:rsid w:val="00B71D54"/>
    <w:rsid w:val="00B74DAC"/>
    <w:rsid w:val="00B81222"/>
    <w:rsid w:val="00B81E09"/>
    <w:rsid w:val="00B83857"/>
    <w:rsid w:val="00B90CD6"/>
    <w:rsid w:val="00B92BC8"/>
    <w:rsid w:val="00BA06C1"/>
    <w:rsid w:val="00BA2B7A"/>
    <w:rsid w:val="00BA38DD"/>
    <w:rsid w:val="00BA5DB8"/>
    <w:rsid w:val="00BA6A04"/>
    <w:rsid w:val="00BA7303"/>
    <w:rsid w:val="00BA7397"/>
    <w:rsid w:val="00BB2E51"/>
    <w:rsid w:val="00BB30D5"/>
    <w:rsid w:val="00BB5D09"/>
    <w:rsid w:val="00BB61A8"/>
    <w:rsid w:val="00BB75E4"/>
    <w:rsid w:val="00BB7BDD"/>
    <w:rsid w:val="00BC389C"/>
    <w:rsid w:val="00BC3A7C"/>
    <w:rsid w:val="00BC5D3E"/>
    <w:rsid w:val="00BC7AB0"/>
    <w:rsid w:val="00BC7C0F"/>
    <w:rsid w:val="00BD0F72"/>
    <w:rsid w:val="00BD25EF"/>
    <w:rsid w:val="00BE1085"/>
    <w:rsid w:val="00BE3A08"/>
    <w:rsid w:val="00BE51AB"/>
    <w:rsid w:val="00BE524F"/>
    <w:rsid w:val="00BE7D2A"/>
    <w:rsid w:val="00BF1CF6"/>
    <w:rsid w:val="00BF1D57"/>
    <w:rsid w:val="00BF3300"/>
    <w:rsid w:val="00BF35A5"/>
    <w:rsid w:val="00BF6137"/>
    <w:rsid w:val="00BF6EE5"/>
    <w:rsid w:val="00C03A47"/>
    <w:rsid w:val="00C07AFC"/>
    <w:rsid w:val="00C07F61"/>
    <w:rsid w:val="00C101D7"/>
    <w:rsid w:val="00C101E0"/>
    <w:rsid w:val="00C131AF"/>
    <w:rsid w:val="00C13A8E"/>
    <w:rsid w:val="00C143C1"/>
    <w:rsid w:val="00C20116"/>
    <w:rsid w:val="00C2033F"/>
    <w:rsid w:val="00C23976"/>
    <w:rsid w:val="00C23BCC"/>
    <w:rsid w:val="00C242F9"/>
    <w:rsid w:val="00C25BEE"/>
    <w:rsid w:val="00C2639D"/>
    <w:rsid w:val="00C303FF"/>
    <w:rsid w:val="00C30D60"/>
    <w:rsid w:val="00C32A48"/>
    <w:rsid w:val="00C36AB1"/>
    <w:rsid w:val="00C404B3"/>
    <w:rsid w:val="00C417E7"/>
    <w:rsid w:val="00C42938"/>
    <w:rsid w:val="00C44168"/>
    <w:rsid w:val="00C44397"/>
    <w:rsid w:val="00C46677"/>
    <w:rsid w:val="00C51DEB"/>
    <w:rsid w:val="00C5390C"/>
    <w:rsid w:val="00C56F2C"/>
    <w:rsid w:val="00C61E40"/>
    <w:rsid w:val="00C643EE"/>
    <w:rsid w:val="00C6734D"/>
    <w:rsid w:val="00C7158C"/>
    <w:rsid w:val="00C716D2"/>
    <w:rsid w:val="00C74EE7"/>
    <w:rsid w:val="00C75A54"/>
    <w:rsid w:val="00C76DCE"/>
    <w:rsid w:val="00C81804"/>
    <w:rsid w:val="00C81EBD"/>
    <w:rsid w:val="00C82D20"/>
    <w:rsid w:val="00C83117"/>
    <w:rsid w:val="00C85FF9"/>
    <w:rsid w:val="00C86D94"/>
    <w:rsid w:val="00C90D3E"/>
    <w:rsid w:val="00C91A2E"/>
    <w:rsid w:val="00C93771"/>
    <w:rsid w:val="00C93C16"/>
    <w:rsid w:val="00C965A6"/>
    <w:rsid w:val="00CA1931"/>
    <w:rsid w:val="00CA1A0C"/>
    <w:rsid w:val="00CA478D"/>
    <w:rsid w:val="00CA5458"/>
    <w:rsid w:val="00CA5ABB"/>
    <w:rsid w:val="00CA5C40"/>
    <w:rsid w:val="00CA68A6"/>
    <w:rsid w:val="00CA7297"/>
    <w:rsid w:val="00CA7E55"/>
    <w:rsid w:val="00CB1171"/>
    <w:rsid w:val="00CB1754"/>
    <w:rsid w:val="00CB1EE0"/>
    <w:rsid w:val="00CB543F"/>
    <w:rsid w:val="00CC3D61"/>
    <w:rsid w:val="00CC4036"/>
    <w:rsid w:val="00CC55CE"/>
    <w:rsid w:val="00CC55E1"/>
    <w:rsid w:val="00CC5857"/>
    <w:rsid w:val="00CC629C"/>
    <w:rsid w:val="00CC69FE"/>
    <w:rsid w:val="00CC6A78"/>
    <w:rsid w:val="00CD03D3"/>
    <w:rsid w:val="00CD205E"/>
    <w:rsid w:val="00CD3083"/>
    <w:rsid w:val="00CD3BBA"/>
    <w:rsid w:val="00CD4DAD"/>
    <w:rsid w:val="00CD4EB7"/>
    <w:rsid w:val="00CD5EFC"/>
    <w:rsid w:val="00CD7ACD"/>
    <w:rsid w:val="00CE1642"/>
    <w:rsid w:val="00CE31AB"/>
    <w:rsid w:val="00CE3C68"/>
    <w:rsid w:val="00CE6DF4"/>
    <w:rsid w:val="00CF17C2"/>
    <w:rsid w:val="00CF5621"/>
    <w:rsid w:val="00CF6AA0"/>
    <w:rsid w:val="00CF7ECA"/>
    <w:rsid w:val="00D025F2"/>
    <w:rsid w:val="00D02D04"/>
    <w:rsid w:val="00D034C8"/>
    <w:rsid w:val="00D03574"/>
    <w:rsid w:val="00D0415C"/>
    <w:rsid w:val="00D0549B"/>
    <w:rsid w:val="00D05B81"/>
    <w:rsid w:val="00D14829"/>
    <w:rsid w:val="00D16889"/>
    <w:rsid w:val="00D20886"/>
    <w:rsid w:val="00D216DD"/>
    <w:rsid w:val="00D23B3E"/>
    <w:rsid w:val="00D23C3D"/>
    <w:rsid w:val="00D24E75"/>
    <w:rsid w:val="00D267EF"/>
    <w:rsid w:val="00D33361"/>
    <w:rsid w:val="00D33533"/>
    <w:rsid w:val="00D4107D"/>
    <w:rsid w:val="00D4503A"/>
    <w:rsid w:val="00D53B27"/>
    <w:rsid w:val="00D55FBE"/>
    <w:rsid w:val="00D56358"/>
    <w:rsid w:val="00D57256"/>
    <w:rsid w:val="00D63E9B"/>
    <w:rsid w:val="00D63F2D"/>
    <w:rsid w:val="00D64F1B"/>
    <w:rsid w:val="00D66EBE"/>
    <w:rsid w:val="00D70CCD"/>
    <w:rsid w:val="00D749EB"/>
    <w:rsid w:val="00D802A8"/>
    <w:rsid w:val="00D80B4B"/>
    <w:rsid w:val="00D80F2F"/>
    <w:rsid w:val="00D81021"/>
    <w:rsid w:val="00D81A74"/>
    <w:rsid w:val="00D8269B"/>
    <w:rsid w:val="00D86548"/>
    <w:rsid w:val="00D9078E"/>
    <w:rsid w:val="00D93C98"/>
    <w:rsid w:val="00D93CCE"/>
    <w:rsid w:val="00D95179"/>
    <w:rsid w:val="00D95E2E"/>
    <w:rsid w:val="00D96487"/>
    <w:rsid w:val="00DA1FE0"/>
    <w:rsid w:val="00DA3C70"/>
    <w:rsid w:val="00DA5071"/>
    <w:rsid w:val="00DA7211"/>
    <w:rsid w:val="00DA7D92"/>
    <w:rsid w:val="00DB6F4F"/>
    <w:rsid w:val="00DC0454"/>
    <w:rsid w:val="00DC34B6"/>
    <w:rsid w:val="00DC786F"/>
    <w:rsid w:val="00DD01C3"/>
    <w:rsid w:val="00DD4A91"/>
    <w:rsid w:val="00DD5286"/>
    <w:rsid w:val="00DD5F19"/>
    <w:rsid w:val="00DE1822"/>
    <w:rsid w:val="00DE2A18"/>
    <w:rsid w:val="00DE4D7D"/>
    <w:rsid w:val="00DE5191"/>
    <w:rsid w:val="00DE5E3E"/>
    <w:rsid w:val="00DE6D23"/>
    <w:rsid w:val="00DF0A10"/>
    <w:rsid w:val="00DF0C4A"/>
    <w:rsid w:val="00DF5D26"/>
    <w:rsid w:val="00E022D5"/>
    <w:rsid w:val="00E02F42"/>
    <w:rsid w:val="00E04EB3"/>
    <w:rsid w:val="00E060BE"/>
    <w:rsid w:val="00E1308A"/>
    <w:rsid w:val="00E16F8E"/>
    <w:rsid w:val="00E2009D"/>
    <w:rsid w:val="00E20237"/>
    <w:rsid w:val="00E211D7"/>
    <w:rsid w:val="00E25AD5"/>
    <w:rsid w:val="00E2619E"/>
    <w:rsid w:val="00E319EE"/>
    <w:rsid w:val="00E33075"/>
    <w:rsid w:val="00E3365A"/>
    <w:rsid w:val="00E34446"/>
    <w:rsid w:val="00E35164"/>
    <w:rsid w:val="00E3673E"/>
    <w:rsid w:val="00E37F27"/>
    <w:rsid w:val="00E40B92"/>
    <w:rsid w:val="00E41B04"/>
    <w:rsid w:val="00E42AA5"/>
    <w:rsid w:val="00E44906"/>
    <w:rsid w:val="00E4623E"/>
    <w:rsid w:val="00E50528"/>
    <w:rsid w:val="00E507EF"/>
    <w:rsid w:val="00E538F1"/>
    <w:rsid w:val="00E542B2"/>
    <w:rsid w:val="00E54650"/>
    <w:rsid w:val="00E559A5"/>
    <w:rsid w:val="00E574A6"/>
    <w:rsid w:val="00E61494"/>
    <w:rsid w:val="00E66248"/>
    <w:rsid w:val="00E67445"/>
    <w:rsid w:val="00E70626"/>
    <w:rsid w:val="00E70BDA"/>
    <w:rsid w:val="00E726F8"/>
    <w:rsid w:val="00E74881"/>
    <w:rsid w:val="00E74E68"/>
    <w:rsid w:val="00E75240"/>
    <w:rsid w:val="00E75D70"/>
    <w:rsid w:val="00E75E49"/>
    <w:rsid w:val="00E80A87"/>
    <w:rsid w:val="00E87B45"/>
    <w:rsid w:val="00E9311C"/>
    <w:rsid w:val="00E9572F"/>
    <w:rsid w:val="00E96153"/>
    <w:rsid w:val="00E97FC7"/>
    <w:rsid w:val="00EA148E"/>
    <w:rsid w:val="00EA2786"/>
    <w:rsid w:val="00EA3FC9"/>
    <w:rsid w:val="00EA5565"/>
    <w:rsid w:val="00EA6855"/>
    <w:rsid w:val="00EB1655"/>
    <w:rsid w:val="00EB61CA"/>
    <w:rsid w:val="00EC3838"/>
    <w:rsid w:val="00EC51D8"/>
    <w:rsid w:val="00EC5B8D"/>
    <w:rsid w:val="00EC70F0"/>
    <w:rsid w:val="00ED01F4"/>
    <w:rsid w:val="00ED3F49"/>
    <w:rsid w:val="00ED5991"/>
    <w:rsid w:val="00ED64E2"/>
    <w:rsid w:val="00ED64FC"/>
    <w:rsid w:val="00ED7683"/>
    <w:rsid w:val="00EE2022"/>
    <w:rsid w:val="00EE37E7"/>
    <w:rsid w:val="00EE443B"/>
    <w:rsid w:val="00EE533A"/>
    <w:rsid w:val="00EE6039"/>
    <w:rsid w:val="00EF2D5E"/>
    <w:rsid w:val="00EF3BAA"/>
    <w:rsid w:val="00EF76EB"/>
    <w:rsid w:val="00F02C8C"/>
    <w:rsid w:val="00F04A67"/>
    <w:rsid w:val="00F06508"/>
    <w:rsid w:val="00F10FFC"/>
    <w:rsid w:val="00F12847"/>
    <w:rsid w:val="00F13380"/>
    <w:rsid w:val="00F13559"/>
    <w:rsid w:val="00F15A48"/>
    <w:rsid w:val="00F1707E"/>
    <w:rsid w:val="00F21A5F"/>
    <w:rsid w:val="00F22D5A"/>
    <w:rsid w:val="00F2330D"/>
    <w:rsid w:val="00F23334"/>
    <w:rsid w:val="00F25C57"/>
    <w:rsid w:val="00F2649C"/>
    <w:rsid w:val="00F27B77"/>
    <w:rsid w:val="00F30A08"/>
    <w:rsid w:val="00F312C8"/>
    <w:rsid w:val="00F327F1"/>
    <w:rsid w:val="00F33A1A"/>
    <w:rsid w:val="00F33EF9"/>
    <w:rsid w:val="00F343AA"/>
    <w:rsid w:val="00F359CF"/>
    <w:rsid w:val="00F36953"/>
    <w:rsid w:val="00F41C96"/>
    <w:rsid w:val="00F43C98"/>
    <w:rsid w:val="00F43E28"/>
    <w:rsid w:val="00F45823"/>
    <w:rsid w:val="00F505E9"/>
    <w:rsid w:val="00F5148D"/>
    <w:rsid w:val="00F52426"/>
    <w:rsid w:val="00F5253E"/>
    <w:rsid w:val="00F526B2"/>
    <w:rsid w:val="00F624AF"/>
    <w:rsid w:val="00F62693"/>
    <w:rsid w:val="00F62891"/>
    <w:rsid w:val="00F62EBB"/>
    <w:rsid w:val="00F63837"/>
    <w:rsid w:val="00F641C7"/>
    <w:rsid w:val="00F64369"/>
    <w:rsid w:val="00F6445F"/>
    <w:rsid w:val="00F65002"/>
    <w:rsid w:val="00F6658B"/>
    <w:rsid w:val="00F7381B"/>
    <w:rsid w:val="00F74125"/>
    <w:rsid w:val="00F762D7"/>
    <w:rsid w:val="00F82553"/>
    <w:rsid w:val="00F91723"/>
    <w:rsid w:val="00F92F08"/>
    <w:rsid w:val="00F92FF8"/>
    <w:rsid w:val="00F93E36"/>
    <w:rsid w:val="00F96191"/>
    <w:rsid w:val="00F9628A"/>
    <w:rsid w:val="00F96785"/>
    <w:rsid w:val="00F97A09"/>
    <w:rsid w:val="00FA1B0C"/>
    <w:rsid w:val="00FA3954"/>
    <w:rsid w:val="00FA3FE3"/>
    <w:rsid w:val="00FB0D41"/>
    <w:rsid w:val="00FB5549"/>
    <w:rsid w:val="00FB7DA2"/>
    <w:rsid w:val="00FC1DDB"/>
    <w:rsid w:val="00FC2331"/>
    <w:rsid w:val="00FC4C40"/>
    <w:rsid w:val="00FC6320"/>
    <w:rsid w:val="00FC6C44"/>
    <w:rsid w:val="00FC7E41"/>
    <w:rsid w:val="00FD3273"/>
    <w:rsid w:val="00FD4F5F"/>
    <w:rsid w:val="00FE07D2"/>
    <w:rsid w:val="00FE47F8"/>
    <w:rsid w:val="00FE5D17"/>
    <w:rsid w:val="00FF126A"/>
    <w:rsid w:val="00FF1A4E"/>
    <w:rsid w:val="00FF1D8D"/>
    <w:rsid w:val="00FF6932"/>
    <w:rsid w:val="00FF6C13"/>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58EEC"/>
  <w15:docId w15:val="{C0A2128E-5574-4671-A935-F89C6F12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072E7A"/>
    <w:pPr>
      <w:widowControl w:val="0"/>
      <w:autoSpaceDE w:val="0"/>
      <w:autoSpaceDN w:val="0"/>
      <w:adjustRightInd w:val="0"/>
      <w:spacing w:after="0" w:line="240" w:lineRule="auto"/>
    </w:pPr>
    <w:rPr>
      <w:rFonts w:ascii="Arial" w:hAnsi="Arial" w:cs="Arial"/>
      <w:color w:val="000000"/>
      <w:sz w:val="18"/>
      <w:szCs w:val="18"/>
    </w:rPr>
  </w:style>
  <w:style w:type="paragraph" w:styleId="Heading1">
    <w:name w:val="heading 1"/>
    <w:basedOn w:val="Normal"/>
    <w:next w:val="Normal"/>
    <w:link w:val="Heading1Char"/>
    <w:uiPriority w:val="9"/>
    <w:qFormat/>
    <w:rsid w:val="00FC7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7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E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E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E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E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E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E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7E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lumnBS">
    <w:name w:val="3-Column (BS)"/>
    <w:rsid w:val="00072E7A"/>
    <w:pPr>
      <w:widowControl w:val="0"/>
      <w:tabs>
        <w:tab w:val="right" w:pos="6624"/>
        <w:tab w:val="right" w:pos="8352"/>
        <w:tab w:val="right" w:pos="10224"/>
      </w:tabs>
      <w:autoSpaceDE w:val="0"/>
      <w:autoSpaceDN w:val="0"/>
      <w:adjustRightInd w:val="0"/>
      <w:spacing w:after="0" w:line="240" w:lineRule="auto"/>
      <w:jc w:val="both"/>
    </w:pPr>
    <w:rPr>
      <w:rFonts w:ascii="Arial" w:hAnsi="Arial" w:cs="Arial"/>
      <w:color w:val="000000"/>
      <w:sz w:val="18"/>
      <w:szCs w:val="18"/>
    </w:rPr>
  </w:style>
  <w:style w:type="paragraph" w:customStyle="1" w:styleId="3-ColumnIS">
    <w:name w:val="3-Column (IS)"/>
    <w:uiPriority w:val="99"/>
    <w:rsid w:val="00072E7A"/>
    <w:pPr>
      <w:widowControl w:val="0"/>
      <w:tabs>
        <w:tab w:val="right" w:pos="8136"/>
        <w:tab w:val="right" w:pos="10224"/>
      </w:tabs>
      <w:autoSpaceDE w:val="0"/>
      <w:autoSpaceDN w:val="0"/>
      <w:adjustRightInd w:val="0"/>
      <w:spacing w:after="0" w:line="240" w:lineRule="auto"/>
      <w:jc w:val="both"/>
    </w:pPr>
    <w:rPr>
      <w:rFonts w:ascii="Arial" w:hAnsi="Arial" w:cs="Arial"/>
      <w:color w:val="000000"/>
      <w:sz w:val="18"/>
      <w:szCs w:val="18"/>
    </w:rPr>
  </w:style>
  <w:style w:type="paragraph" w:customStyle="1" w:styleId="3-Columnsub">
    <w:name w:val="3-Column (sub)"/>
    <w:uiPriority w:val="99"/>
    <w:rsid w:val="00072E7A"/>
    <w:pPr>
      <w:widowControl w:val="0"/>
      <w:tabs>
        <w:tab w:val="right" w:pos="8136"/>
        <w:tab w:val="right" w:pos="10224"/>
      </w:tabs>
      <w:autoSpaceDE w:val="0"/>
      <w:autoSpaceDN w:val="0"/>
      <w:adjustRightInd w:val="0"/>
      <w:spacing w:after="0" w:line="240" w:lineRule="auto"/>
      <w:ind w:left="576"/>
      <w:jc w:val="both"/>
    </w:pPr>
    <w:rPr>
      <w:rFonts w:ascii="Arial" w:hAnsi="Arial" w:cs="Arial"/>
      <w:color w:val="000000"/>
      <w:sz w:val="18"/>
      <w:szCs w:val="18"/>
    </w:rPr>
  </w:style>
  <w:style w:type="paragraph" w:customStyle="1" w:styleId="4Column">
    <w:name w:val="4 Column"/>
    <w:uiPriority w:val="99"/>
    <w:rsid w:val="00072E7A"/>
    <w:pPr>
      <w:widowControl w:val="0"/>
      <w:tabs>
        <w:tab w:val="right" w:pos="5904"/>
        <w:tab w:val="right" w:pos="7344"/>
        <w:tab w:val="right" w:pos="8784"/>
        <w:tab w:val="right" w:pos="10224"/>
      </w:tabs>
      <w:autoSpaceDE w:val="0"/>
      <w:autoSpaceDN w:val="0"/>
      <w:adjustRightInd w:val="0"/>
      <w:spacing w:after="0" w:line="240" w:lineRule="auto"/>
      <w:ind w:left="288"/>
    </w:pPr>
    <w:rPr>
      <w:rFonts w:ascii="Arial" w:hAnsi="Arial" w:cs="Arial"/>
      <w:color w:val="000000"/>
      <w:sz w:val="18"/>
      <w:szCs w:val="18"/>
    </w:rPr>
  </w:style>
  <w:style w:type="paragraph" w:customStyle="1" w:styleId="5-Column">
    <w:name w:val="5-Column"/>
    <w:uiPriority w:val="99"/>
    <w:rsid w:val="00072E7A"/>
    <w:pPr>
      <w:widowControl w:val="0"/>
      <w:tabs>
        <w:tab w:val="right" w:pos="5616"/>
        <w:tab w:val="right" w:pos="7200"/>
        <w:tab w:val="right" w:pos="8784"/>
        <w:tab w:val="right" w:pos="10224"/>
      </w:tabs>
      <w:autoSpaceDE w:val="0"/>
      <w:autoSpaceDN w:val="0"/>
      <w:adjustRightInd w:val="0"/>
      <w:spacing w:after="0" w:line="240" w:lineRule="auto"/>
      <w:jc w:val="both"/>
    </w:pPr>
    <w:rPr>
      <w:rFonts w:ascii="Arial" w:hAnsi="Arial" w:cs="Arial"/>
      <w:color w:val="000000"/>
      <w:sz w:val="18"/>
      <w:szCs w:val="18"/>
    </w:rPr>
  </w:style>
  <w:style w:type="paragraph" w:customStyle="1" w:styleId="5-Columnsub">
    <w:name w:val="5-Column (sub)"/>
    <w:uiPriority w:val="99"/>
    <w:rsid w:val="00072E7A"/>
    <w:pPr>
      <w:widowControl w:val="0"/>
      <w:tabs>
        <w:tab w:val="right" w:pos="5616"/>
        <w:tab w:val="right" w:pos="7200"/>
        <w:tab w:val="right" w:pos="8784"/>
        <w:tab w:val="right" w:pos="10224"/>
      </w:tabs>
      <w:autoSpaceDE w:val="0"/>
      <w:autoSpaceDN w:val="0"/>
      <w:adjustRightInd w:val="0"/>
      <w:spacing w:after="0" w:line="240" w:lineRule="auto"/>
      <w:ind w:left="576"/>
      <w:jc w:val="both"/>
    </w:pPr>
    <w:rPr>
      <w:rFonts w:ascii="Arial" w:hAnsi="Arial" w:cs="Arial"/>
      <w:color w:val="000000"/>
      <w:sz w:val="18"/>
      <w:szCs w:val="18"/>
    </w:rPr>
  </w:style>
  <w:style w:type="paragraph" w:customStyle="1" w:styleId="7column">
    <w:name w:val="7 column"/>
    <w:uiPriority w:val="99"/>
    <w:rsid w:val="00072E7A"/>
    <w:pPr>
      <w:widowControl w:val="0"/>
      <w:tabs>
        <w:tab w:val="right" w:pos="5328"/>
        <w:tab w:val="right" w:pos="6624"/>
        <w:tab w:val="right" w:pos="7344"/>
        <w:tab w:val="right" w:pos="8496"/>
        <w:tab w:val="right" w:pos="9504"/>
        <w:tab w:val="right" w:pos="10224"/>
      </w:tabs>
      <w:autoSpaceDE w:val="0"/>
      <w:autoSpaceDN w:val="0"/>
      <w:adjustRightInd w:val="0"/>
      <w:spacing w:after="0" w:line="240" w:lineRule="auto"/>
    </w:pPr>
    <w:rPr>
      <w:rFonts w:ascii="Arial" w:hAnsi="Arial" w:cs="Arial"/>
      <w:color w:val="000000"/>
      <w:sz w:val="18"/>
      <w:szCs w:val="18"/>
    </w:rPr>
  </w:style>
  <w:style w:type="paragraph" w:customStyle="1" w:styleId="Note-Heading">
    <w:name w:val="Note - Heading"/>
    <w:uiPriority w:val="99"/>
    <w:rsid w:val="00C75A54"/>
    <w:pPr>
      <w:widowControl w:val="0"/>
      <w:tabs>
        <w:tab w:val="left" w:pos="288"/>
      </w:tabs>
      <w:autoSpaceDE w:val="0"/>
      <w:autoSpaceDN w:val="0"/>
      <w:adjustRightInd w:val="0"/>
      <w:spacing w:before="432" w:after="0" w:line="240" w:lineRule="auto"/>
      <w:jc w:val="both"/>
    </w:pPr>
    <w:rPr>
      <w:rFonts w:ascii="Arial" w:hAnsi="Arial" w:cs="Arial"/>
      <w:b/>
      <w:bCs/>
      <w:color w:val="000000"/>
      <w:sz w:val="18"/>
      <w:szCs w:val="18"/>
    </w:rPr>
  </w:style>
  <w:style w:type="paragraph" w:customStyle="1" w:styleId="Note-Normal">
    <w:name w:val="Note - Normal"/>
    <w:uiPriority w:val="99"/>
    <w:rsid w:val="00072E7A"/>
    <w:pPr>
      <w:widowControl w:val="0"/>
      <w:autoSpaceDE w:val="0"/>
      <w:autoSpaceDN w:val="0"/>
      <w:adjustRightInd w:val="0"/>
      <w:spacing w:before="144" w:after="0" w:line="240" w:lineRule="auto"/>
      <w:ind w:left="288"/>
      <w:jc w:val="both"/>
    </w:pPr>
    <w:rPr>
      <w:rFonts w:ascii="Arial" w:hAnsi="Arial" w:cs="Arial"/>
      <w:color w:val="000000"/>
      <w:sz w:val="18"/>
      <w:szCs w:val="18"/>
    </w:rPr>
  </w:style>
  <w:style w:type="paragraph" w:customStyle="1" w:styleId="Note-Sub-heading">
    <w:name w:val="Note - Sub-heading"/>
    <w:uiPriority w:val="99"/>
    <w:rsid w:val="00C75A54"/>
    <w:pPr>
      <w:widowControl w:val="0"/>
      <w:tabs>
        <w:tab w:val="left" w:pos="720"/>
      </w:tabs>
      <w:autoSpaceDE w:val="0"/>
      <w:autoSpaceDN w:val="0"/>
      <w:adjustRightInd w:val="0"/>
      <w:spacing w:before="288" w:after="0" w:line="240" w:lineRule="auto"/>
      <w:ind w:left="288"/>
      <w:jc w:val="both"/>
    </w:pPr>
    <w:rPr>
      <w:rFonts w:ascii="Arial" w:hAnsi="Arial" w:cs="Arial"/>
      <w:b/>
      <w:bCs/>
      <w:color w:val="000000"/>
      <w:sz w:val="18"/>
      <w:szCs w:val="18"/>
    </w:rPr>
  </w:style>
  <w:style w:type="paragraph" w:customStyle="1" w:styleId="Note-Sub-heading2">
    <w:name w:val="Note - Sub-heading 2"/>
    <w:uiPriority w:val="99"/>
    <w:rsid w:val="00C75A54"/>
    <w:pPr>
      <w:widowControl w:val="0"/>
      <w:tabs>
        <w:tab w:val="left" w:pos="720"/>
        <w:tab w:val="left" w:pos="1152"/>
      </w:tabs>
      <w:autoSpaceDE w:val="0"/>
      <w:autoSpaceDN w:val="0"/>
      <w:adjustRightInd w:val="0"/>
      <w:spacing w:before="288" w:after="0" w:line="240" w:lineRule="auto"/>
      <w:ind w:left="720"/>
      <w:jc w:val="both"/>
    </w:pPr>
    <w:rPr>
      <w:rFonts w:ascii="Arial" w:hAnsi="Arial" w:cs="Arial"/>
      <w:b/>
      <w:bCs/>
      <w:color w:val="000000"/>
      <w:sz w:val="18"/>
      <w:szCs w:val="18"/>
    </w:rPr>
  </w:style>
  <w:style w:type="paragraph" w:customStyle="1" w:styleId="Note-Sub-normal">
    <w:name w:val="Note - Sub-normal"/>
    <w:uiPriority w:val="99"/>
    <w:rsid w:val="00072E7A"/>
    <w:pPr>
      <w:widowControl w:val="0"/>
      <w:autoSpaceDE w:val="0"/>
      <w:autoSpaceDN w:val="0"/>
      <w:adjustRightInd w:val="0"/>
      <w:spacing w:before="144" w:after="0" w:line="240" w:lineRule="auto"/>
      <w:ind w:left="720"/>
      <w:jc w:val="both"/>
    </w:pPr>
    <w:rPr>
      <w:rFonts w:ascii="Arial" w:hAnsi="Arial" w:cs="Arial"/>
      <w:color w:val="000000"/>
      <w:sz w:val="18"/>
      <w:szCs w:val="18"/>
    </w:rPr>
  </w:style>
  <w:style w:type="paragraph" w:styleId="BalloonText">
    <w:name w:val="Balloon Text"/>
    <w:basedOn w:val="Normal"/>
    <w:link w:val="BalloonTextChar"/>
    <w:uiPriority w:val="99"/>
    <w:semiHidden/>
    <w:unhideWhenUsed/>
    <w:rsid w:val="00604803"/>
    <w:rPr>
      <w:rFonts w:ascii="Tahoma" w:hAnsi="Tahoma" w:cs="Tahoma"/>
      <w:sz w:val="16"/>
      <w:szCs w:val="16"/>
    </w:rPr>
  </w:style>
  <w:style w:type="character" w:customStyle="1" w:styleId="BalloonTextChar">
    <w:name w:val="Balloon Text Char"/>
    <w:basedOn w:val="DefaultParagraphFont"/>
    <w:link w:val="BalloonText"/>
    <w:uiPriority w:val="99"/>
    <w:semiHidden/>
    <w:rsid w:val="00604803"/>
    <w:rPr>
      <w:rFonts w:ascii="Tahoma" w:hAnsi="Tahoma" w:cs="Tahoma"/>
      <w:color w:val="000000"/>
      <w:sz w:val="16"/>
      <w:szCs w:val="16"/>
    </w:rPr>
  </w:style>
  <w:style w:type="paragraph" w:styleId="Header">
    <w:name w:val="header"/>
    <w:basedOn w:val="Normal"/>
    <w:link w:val="HeaderChar"/>
    <w:uiPriority w:val="99"/>
    <w:unhideWhenUsed/>
    <w:rsid w:val="00D93C98"/>
    <w:pPr>
      <w:tabs>
        <w:tab w:val="center" w:pos="4680"/>
        <w:tab w:val="right" w:pos="9360"/>
      </w:tabs>
    </w:pPr>
  </w:style>
  <w:style w:type="character" w:customStyle="1" w:styleId="HeaderChar">
    <w:name w:val="Header Char"/>
    <w:basedOn w:val="DefaultParagraphFont"/>
    <w:link w:val="Header"/>
    <w:uiPriority w:val="99"/>
    <w:rsid w:val="00D93C98"/>
    <w:rPr>
      <w:rFonts w:ascii="Arial" w:hAnsi="Arial" w:cs="Arial"/>
      <w:color w:val="000000"/>
      <w:sz w:val="18"/>
      <w:szCs w:val="18"/>
    </w:rPr>
  </w:style>
  <w:style w:type="paragraph" w:styleId="Footer">
    <w:name w:val="footer"/>
    <w:basedOn w:val="Normal"/>
    <w:link w:val="FooterChar"/>
    <w:uiPriority w:val="99"/>
    <w:unhideWhenUsed/>
    <w:rsid w:val="00D93C98"/>
    <w:pPr>
      <w:tabs>
        <w:tab w:val="center" w:pos="4680"/>
        <w:tab w:val="right" w:pos="9360"/>
      </w:tabs>
    </w:pPr>
  </w:style>
  <w:style w:type="character" w:customStyle="1" w:styleId="FooterChar">
    <w:name w:val="Footer Char"/>
    <w:basedOn w:val="DefaultParagraphFont"/>
    <w:link w:val="Footer"/>
    <w:uiPriority w:val="99"/>
    <w:rsid w:val="00D93C98"/>
    <w:rPr>
      <w:rFonts w:ascii="Arial" w:hAnsi="Arial" w:cs="Arial"/>
      <w:color w:val="000000"/>
      <w:sz w:val="18"/>
      <w:szCs w:val="18"/>
    </w:rPr>
  </w:style>
  <w:style w:type="paragraph" w:styleId="ListParagraph">
    <w:name w:val="List Paragraph"/>
    <w:basedOn w:val="Normal"/>
    <w:uiPriority w:val="34"/>
    <w:qFormat/>
    <w:rsid w:val="006609F2"/>
    <w:pPr>
      <w:ind w:left="720"/>
      <w:contextualSpacing/>
    </w:pPr>
  </w:style>
  <w:style w:type="paragraph" w:styleId="Bibliography">
    <w:name w:val="Bibliography"/>
    <w:basedOn w:val="Normal"/>
    <w:next w:val="Normal"/>
    <w:uiPriority w:val="37"/>
    <w:semiHidden/>
    <w:unhideWhenUsed/>
    <w:rsid w:val="00FC7E41"/>
  </w:style>
  <w:style w:type="paragraph" w:styleId="BlockText">
    <w:name w:val="Block Text"/>
    <w:basedOn w:val="Normal"/>
    <w:uiPriority w:val="99"/>
    <w:semiHidden/>
    <w:unhideWhenUsed/>
    <w:rsid w:val="00FC7E4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
    <w:name w:val="Body Text"/>
    <w:basedOn w:val="Normal"/>
    <w:link w:val="BodyTextChar"/>
    <w:uiPriority w:val="99"/>
    <w:semiHidden/>
    <w:unhideWhenUsed/>
    <w:rsid w:val="00FC7E41"/>
    <w:pPr>
      <w:spacing w:after="120"/>
    </w:pPr>
  </w:style>
  <w:style w:type="character" w:customStyle="1" w:styleId="BodyTextChar">
    <w:name w:val="Body Text Char"/>
    <w:basedOn w:val="DefaultParagraphFont"/>
    <w:link w:val="BodyText"/>
    <w:uiPriority w:val="99"/>
    <w:semiHidden/>
    <w:rsid w:val="00FC7E41"/>
    <w:rPr>
      <w:rFonts w:ascii="Arial" w:hAnsi="Arial" w:cs="Arial"/>
      <w:color w:val="000000"/>
      <w:sz w:val="18"/>
      <w:szCs w:val="18"/>
    </w:rPr>
  </w:style>
  <w:style w:type="paragraph" w:styleId="BodyText2">
    <w:name w:val="Body Text 2"/>
    <w:basedOn w:val="Normal"/>
    <w:link w:val="BodyText2Char"/>
    <w:uiPriority w:val="99"/>
    <w:semiHidden/>
    <w:unhideWhenUsed/>
    <w:rsid w:val="00FC7E41"/>
    <w:pPr>
      <w:spacing w:after="120" w:line="480" w:lineRule="auto"/>
    </w:pPr>
  </w:style>
  <w:style w:type="character" w:customStyle="1" w:styleId="BodyText2Char">
    <w:name w:val="Body Text 2 Char"/>
    <w:basedOn w:val="DefaultParagraphFont"/>
    <w:link w:val="BodyText2"/>
    <w:uiPriority w:val="99"/>
    <w:semiHidden/>
    <w:rsid w:val="00FC7E41"/>
    <w:rPr>
      <w:rFonts w:ascii="Arial" w:hAnsi="Arial" w:cs="Arial"/>
      <w:color w:val="000000"/>
      <w:sz w:val="18"/>
      <w:szCs w:val="18"/>
    </w:rPr>
  </w:style>
  <w:style w:type="paragraph" w:styleId="BodyText3">
    <w:name w:val="Body Text 3"/>
    <w:basedOn w:val="Normal"/>
    <w:link w:val="BodyText3Char"/>
    <w:uiPriority w:val="99"/>
    <w:semiHidden/>
    <w:unhideWhenUsed/>
    <w:rsid w:val="00FC7E41"/>
    <w:pPr>
      <w:spacing w:after="120"/>
    </w:pPr>
    <w:rPr>
      <w:sz w:val="16"/>
      <w:szCs w:val="16"/>
    </w:rPr>
  </w:style>
  <w:style w:type="character" w:customStyle="1" w:styleId="BodyText3Char">
    <w:name w:val="Body Text 3 Char"/>
    <w:basedOn w:val="DefaultParagraphFont"/>
    <w:link w:val="BodyText3"/>
    <w:uiPriority w:val="99"/>
    <w:semiHidden/>
    <w:rsid w:val="00FC7E41"/>
    <w:rPr>
      <w:rFonts w:ascii="Arial" w:hAnsi="Arial" w:cs="Arial"/>
      <w:color w:val="000000"/>
      <w:sz w:val="16"/>
      <w:szCs w:val="16"/>
    </w:rPr>
  </w:style>
  <w:style w:type="paragraph" w:styleId="BodyTextFirstIndent">
    <w:name w:val="Body Text First Indent"/>
    <w:basedOn w:val="BodyText"/>
    <w:link w:val="BodyTextFirstIndentChar"/>
    <w:uiPriority w:val="99"/>
    <w:semiHidden/>
    <w:unhideWhenUsed/>
    <w:rsid w:val="00FC7E41"/>
    <w:pPr>
      <w:spacing w:after="0"/>
      <w:ind w:firstLine="360"/>
    </w:pPr>
  </w:style>
  <w:style w:type="character" w:customStyle="1" w:styleId="BodyTextFirstIndentChar">
    <w:name w:val="Body Text First Indent Char"/>
    <w:basedOn w:val="BodyTextChar"/>
    <w:link w:val="BodyTextFirstIndent"/>
    <w:uiPriority w:val="99"/>
    <w:semiHidden/>
    <w:rsid w:val="00FC7E41"/>
    <w:rPr>
      <w:rFonts w:ascii="Arial" w:hAnsi="Arial" w:cs="Arial"/>
      <w:color w:val="000000"/>
      <w:sz w:val="18"/>
      <w:szCs w:val="18"/>
    </w:rPr>
  </w:style>
  <w:style w:type="paragraph" w:styleId="BodyTextIndent">
    <w:name w:val="Body Text Indent"/>
    <w:basedOn w:val="Normal"/>
    <w:link w:val="BodyTextIndentChar"/>
    <w:uiPriority w:val="99"/>
    <w:semiHidden/>
    <w:unhideWhenUsed/>
    <w:rsid w:val="00FC7E41"/>
    <w:pPr>
      <w:spacing w:after="120"/>
      <w:ind w:left="283"/>
    </w:pPr>
  </w:style>
  <w:style w:type="character" w:customStyle="1" w:styleId="BodyTextIndentChar">
    <w:name w:val="Body Text Indent Char"/>
    <w:basedOn w:val="DefaultParagraphFont"/>
    <w:link w:val="BodyTextIndent"/>
    <w:uiPriority w:val="99"/>
    <w:semiHidden/>
    <w:rsid w:val="00FC7E41"/>
    <w:rPr>
      <w:rFonts w:ascii="Arial" w:hAnsi="Arial" w:cs="Arial"/>
      <w:color w:val="000000"/>
      <w:sz w:val="18"/>
      <w:szCs w:val="18"/>
    </w:rPr>
  </w:style>
  <w:style w:type="paragraph" w:styleId="BodyTextFirstIndent2">
    <w:name w:val="Body Text First Indent 2"/>
    <w:basedOn w:val="BodyTextIndent"/>
    <w:link w:val="BodyTextFirstIndent2Char"/>
    <w:uiPriority w:val="99"/>
    <w:semiHidden/>
    <w:unhideWhenUsed/>
    <w:rsid w:val="00FC7E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FC7E41"/>
    <w:rPr>
      <w:rFonts w:ascii="Arial" w:hAnsi="Arial" w:cs="Arial"/>
      <w:color w:val="000000"/>
      <w:sz w:val="18"/>
      <w:szCs w:val="18"/>
    </w:rPr>
  </w:style>
  <w:style w:type="paragraph" w:styleId="BodyTextIndent2">
    <w:name w:val="Body Text Indent 2"/>
    <w:basedOn w:val="Normal"/>
    <w:link w:val="BodyTextIndent2Char"/>
    <w:uiPriority w:val="99"/>
    <w:semiHidden/>
    <w:unhideWhenUsed/>
    <w:rsid w:val="00FC7E41"/>
    <w:pPr>
      <w:spacing w:after="120" w:line="480" w:lineRule="auto"/>
      <w:ind w:left="283"/>
    </w:pPr>
  </w:style>
  <w:style w:type="character" w:customStyle="1" w:styleId="BodyTextIndent2Char">
    <w:name w:val="Body Text Indent 2 Char"/>
    <w:basedOn w:val="DefaultParagraphFont"/>
    <w:link w:val="BodyTextIndent2"/>
    <w:uiPriority w:val="99"/>
    <w:semiHidden/>
    <w:rsid w:val="00FC7E41"/>
    <w:rPr>
      <w:rFonts w:ascii="Arial" w:hAnsi="Arial" w:cs="Arial"/>
      <w:color w:val="000000"/>
      <w:sz w:val="18"/>
      <w:szCs w:val="18"/>
    </w:rPr>
  </w:style>
  <w:style w:type="paragraph" w:styleId="BodyTextIndent3">
    <w:name w:val="Body Text Indent 3"/>
    <w:basedOn w:val="Normal"/>
    <w:link w:val="BodyTextIndent3Char"/>
    <w:uiPriority w:val="99"/>
    <w:semiHidden/>
    <w:unhideWhenUsed/>
    <w:rsid w:val="00FC7E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7E41"/>
    <w:rPr>
      <w:rFonts w:ascii="Arial" w:hAnsi="Arial" w:cs="Arial"/>
      <w:color w:val="000000"/>
      <w:sz w:val="16"/>
      <w:szCs w:val="16"/>
    </w:rPr>
  </w:style>
  <w:style w:type="paragraph" w:styleId="Caption">
    <w:name w:val="caption"/>
    <w:basedOn w:val="Normal"/>
    <w:next w:val="Normal"/>
    <w:uiPriority w:val="35"/>
    <w:semiHidden/>
    <w:unhideWhenUsed/>
    <w:qFormat/>
    <w:rsid w:val="00FC7E41"/>
    <w:pPr>
      <w:spacing w:after="200"/>
    </w:pPr>
    <w:rPr>
      <w:b/>
      <w:bCs/>
      <w:color w:val="4F81BD" w:themeColor="accent1"/>
    </w:rPr>
  </w:style>
  <w:style w:type="paragraph" w:styleId="Closing">
    <w:name w:val="Closing"/>
    <w:basedOn w:val="Normal"/>
    <w:link w:val="ClosingChar"/>
    <w:uiPriority w:val="99"/>
    <w:semiHidden/>
    <w:unhideWhenUsed/>
    <w:rsid w:val="00FC7E41"/>
    <w:pPr>
      <w:ind w:left="4252"/>
    </w:pPr>
  </w:style>
  <w:style w:type="character" w:customStyle="1" w:styleId="ClosingChar">
    <w:name w:val="Closing Char"/>
    <w:basedOn w:val="DefaultParagraphFont"/>
    <w:link w:val="Closing"/>
    <w:uiPriority w:val="99"/>
    <w:semiHidden/>
    <w:rsid w:val="00FC7E41"/>
    <w:rPr>
      <w:rFonts w:ascii="Arial" w:hAnsi="Arial" w:cs="Arial"/>
      <w:color w:val="000000"/>
      <w:sz w:val="18"/>
      <w:szCs w:val="18"/>
    </w:rPr>
  </w:style>
  <w:style w:type="paragraph" w:styleId="CommentText">
    <w:name w:val="annotation text"/>
    <w:basedOn w:val="Normal"/>
    <w:link w:val="CommentTextChar"/>
    <w:uiPriority w:val="99"/>
    <w:semiHidden/>
    <w:unhideWhenUsed/>
    <w:rsid w:val="00FC7E41"/>
    <w:rPr>
      <w:sz w:val="20"/>
      <w:szCs w:val="20"/>
    </w:rPr>
  </w:style>
  <w:style w:type="character" w:customStyle="1" w:styleId="CommentTextChar">
    <w:name w:val="Comment Text Char"/>
    <w:basedOn w:val="DefaultParagraphFont"/>
    <w:link w:val="CommentText"/>
    <w:uiPriority w:val="99"/>
    <w:semiHidden/>
    <w:rsid w:val="00FC7E4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C7E41"/>
    <w:rPr>
      <w:b/>
      <w:bCs/>
    </w:rPr>
  </w:style>
  <w:style w:type="character" w:customStyle="1" w:styleId="CommentSubjectChar">
    <w:name w:val="Comment Subject Char"/>
    <w:basedOn w:val="CommentTextChar"/>
    <w:link w:val="CommentSubject"/>
    <w:uiPriority w:val="99"/>
    <w:semiHidden/>
    <w:rsid w:val="00FC7E41"/>
    <w:rPr>
      <w:rFonts w:ascii="Arial" w:hAnsi="Arial" w:cs="Arial"/>
      <w:b/>
      <w:bCs/>
      <w:color w:val="000000"/>
      <w:sz w:val="20"/>
      <w:szCs w:val="20"/>
    </w:rPr>
  </w:style>
  <w:style w:type="paragraph" w:styleId="Date">
    <w:name w:val="Date"/>
    <w:basedOn w:val="Normal"/>
    <w:next w:val="Normal"/>
    <w:link w:val="DateChar"/>
    <w:uiPriority w:val="99"/>
    <w:semiHidden/>
    <w:unhideWhenUsed/>
    <w:rsid w:val="00FC7E41"/>
  </w:style>
  <w:style w:type="character" w:customStyle="1" w:styleId="DateChar">
    <w:name w:val="Date Char"/>
    <w:basedOn w:val="DefaultParagraphFont"/>
    <w:link w:val="Date"/>
    <w:uiPriority w:val="99"/>
    <w:semiHidden/>
    <w:rsid w:val="00FC7E41"/>
    <w:rPr>
      <w:rFonts w:ascii="Arial" w:hAnsi="Arial" w:cs="Arial"/>
      <w:color w:val="000000"/>
      <w:sz w:val="18"/>
      <w:szCs w:val="18"/>
    </w:rPr>
  </w:style>
  <w:style w:type="paragraph" w:styleId="DocumentMap">
    <w:name w:val="Document Map"/>
    <w:basedOn w:val="Normal"/>
    <w:link w:val="DocumentMapChar"/>
    <w:uiPriority w:val="99"/>
    <w:semiHidden/>
    <w:unhideWhenUsed/>
    <w:rsid w:val="00FC7E41"/>
    <w:rPr>
      <w:rFonts w:ascii="Tahoma" w:hAnsi="Tahoma" w:cs="Tahoma"/>
      <w:sz w:val="16"/>
      <w:szCs w:val="16"/>
    </w:rPr>
  </w:style>
  <w:style w:type="character" w:customStyle="1" w:styleId="DocumentMapChar">
    <w:name w:val="Document Map Char"/>
    <w:basedOn w:val="DefaultParagraphFont"/>
    <w:link w:val="DocumentMap"/>
    <w:uiPriority w:val="99"/>
    <w:semiHidden/>
    <w:rsid w:val="00FC7E41"/>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FC7E41"/>
  </w:style>
  <w:style w:type="character" w:customStyle="1" w:styleId="E-mailSignatureChar">
    <w:name w:val="E-mail Signature Char"/>
    <w:basedOn w:val="DefaultParagraphFont"/>
    <w:link w:val="E-mailSignature"/>
    <w:uiPriority w:val="99"/>
    <w:semiHidden/>
    <w:rsid w:val="00FC7E41"/>
    <w:rPr>
      <w:rFonts w:ascii="Arial" w:hAnsi="Arial" w:cs="Arial"/>
      <w:color w:val="000000"/>
      <w:sz w:val="18"/>
      <w:szCs w:val="18"/>
    </w:rPr>
  </w:style>
  <w:style w:type="paragraph" w:styleId="EndnoteText">
    <w:name w:val="endnote text"/>
    <w:basedOn w:val="Normal"/>
    <w:link w:val="EndnoteTextChar"/>
    <w:uiPriority w:val="99"/>
    <w:semiHidden/>
    <w:unhideWhenUsed/>
    <w:rsid w:val="00FC7E41"/>
    <w:rPr>
      <w:sz w:val="20"/>
      <w:szCs w:val="20"/>
    </w:rPr>
  </w:style>
  <w:style w:type="character" w:customStyle="1" w:styleId="EndnoteTextChar">
    <w:name w:val="Endnote Text Char"/>
    <w:basedOn w:val="DefaultParagraphFont"/>
    <w:link w:val="EndnoteText"/>
    <w:uiPriority w:val="99"/>
    <w:semiHidden/>
    <w:rsid w:val="00FC7E41"/>
    <w:rPr>
      <w:rFonts w:ascii="Arial" w:hAnsi="Arial" w:cs="Arial"/>
      <w:color w:val="000000"/>
      <w:sz w:val="20"/>
      <w:szCs w:val="20"/>
    </w:rPr>
  </w:style>
  <w:style w:type="paragraph" w:styleId="EnvelopeAddress">
    <w:name w:val="envelope address"/>
    <w:basedOn w:val="Normal"/>
    <w:uiPriority w:val="99"/>
    <w:semiHidden/>
    <w:unhideWhenUsed/>
    <w:rsid w:val="00FC7E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7E4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C7E41"/>
    <w:rPr>
      <w:sz w:val="20"/>
      <w:szCs w:val="20"/>
    </w:rPr>
  </w:style>
  <w:style w:type="character" w:customStyle="1" w:styleId="FootnoteTextChar">
    <w:name w:val="Footnote Text Char"/>
    <w:basedOn w:val="DefaultParagraphFont"/>
    <w:link w:val="FootnoteText"/>
    <w:uiPriority w:val="99"/>
    <w:semiHidden/>
    <w:rsid w:val="00FC7E41"/>
    <w:rPr>
      <w:rFonts w:ascii="Arial" w:hAnsi="Arial" w:cs="Arial"/>
      <w:color w:val="000000"/>
      <w:sz w:val="20"/>
      <w:szCs w:val="20"/>
    </w:rPr>
  </w:style>
  <w:style w:type="character" w:customStyle="1" w:styleId="Heading1Char">
    <w:name w:val="Heading 1 Char"/>
    <w:basedOn w:val="DefaultParagraphFont"/>
    <w:link w:val="Heading1"/>
    <w:uiPriority w:val="9"/>
    <w:rsid w:val="00FC7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7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7E41"/>
    <w:rPr>
      <w:rFonts w:asciiTheme="majorHAnsi" w:eastAsiaTheme="majorEastAsia" w:hAnsiTheme="majorHAnsi" w:cstheme="majorBidi"/>
      <w:b/>
      <w:bCs/>
      <w:color w:val="4F81BD" w:themeColor="accent1"/>
      <w:sz w:val="18"/>
      <w:szCs w:val="18"/>
    </w:rPr>
  </w:style>
  <w:style w:type="character" w:customStyle="1" w:styleId="Heading4Char">
    <w:name w:val="Heading 4 Char"/>
    <w:basedOn w:val="DefaultParagraphFont"/>
    <w:link w:val="Heading4"/>
    <w:uiPriority w:val="9"/>
    <w:semiHidden/>
    <w:rsid w:val="00FC7E41"/>
    <w:rPr>
      <w:rFonts w:asciiTheme="majorHAnsi" w:eastAsiaTheme="majorEastAsia" w:hAnsiTheme="majorHAnsi" w:cstheme="majorBidi"/>
      <w:b/>
      <w:bCs/>
      <w:i/>
      <w:iCs/>
      <w:color w:val="4F81BD" w:themeColor="accent1"/>
      <w:sz w:val="18"/>
      <w:szCs w:val="18"/>
    </w:rPr>
  </w:style>
  <w:style w:type="character" w:customStyle="1" w:styleId="Heading5Char">
    <w:name w:val="Heading 5 Char"/>
    <w:basedOn w:val="DefaultParagraphFont"/>
    <w:link w:val="Heading5"/>
    <w:uiPriority w:val="9"/>
    <w:semiHidden/>
    <w:rsid w:val="00FC7E41"/>
    <w:rPr>
      <w:rFonts w:asciiTheme="majorHAnsi" w:eastAsiaTheme="majorEastAsia" w:hAnsiTheme="majorHAnsi" w:cstheme="majorBidi"/>
      <w:color w:val="243F60" w:themeColor="accent1" w:themeShade="7F"/>
      <w:sz w:val="18"/>
      <w:szCs w:val="18"/>
    </w:rPr>
  </w:style>
  <w:style w:type="character" w:customStyle="1" w:styleId="Heading6Char">
    <w:name w:val="Heading 6 Char"/>
    <w:basedOn w:val="DefaultParagraphFont"/>
    <w:link w:val="Heading6"/>
    <w:uiPriority w:val="9"/>
    <w:semiHidden/>
    <w:rsid w:val="00FC7E41"/>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semiHidden/>
    <w:rsid w:val="00FC7E41"/>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FC7E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7E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FC7E41"/>
    <w:rPr>
      <w:i/>
      <w:iCs/>
    </w:rPr>
  </w:style>
  <w:style w:type="character" w:customStyle="1" w:styleId="HTMLAddressChar">
    <w:name w:val="HTML Address Char"/>
    <w:basedOn w:val="DefaultParagraphFont"/>
    <w:link w:val="HTMLAddress"/>
    <w:uiPriority w:val="99"/>
    <w:semiHidden/>
    <w:rsid w:val="00FC7E41"/>
    <w:rPr>
      <w:rFonts w:ascii="Arial" w:hAnsi="Arial" w:cs="Arial"/>
      <w:i/>
      <w:iCs/>
      <w:color w:val="000000"/>
      <w:sz w:val="18"/>
      <w:szCs w:val="18"/>
    </w:rPr>
  </w:style>
  <w:style w:type="paragraph" w:styleId="HTMLPreformatted">
    <w:name w:val="HTML Preformatted"/>
    <w:basedOn w:val="Normal"/>
    <w:link w:val="HTMLPreformattedChar"/>
    <w:uiPriority w:val="99"/>
    <w:semiHidden/>
    <w:unhideWhenUsed/>
    <w:rsid w:val="00FC7E4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7E41"/>
    <w:rPr>
      <w:rFonts w:ascii="Consolas" w:hAnsi="Consolas" w:cs="Arial"/>
      <w:color w:val="000000"/>
      <w:sz w:val="20"/>
      <w:szCs w:val="20"/>
    </w:rPr>
  </w:style>
  <w:style w:type="paragraph" w:styleId="Index1">
    <w:name w:val="index 1"/>
    <w:basedOn w:val="Normal"/>
    <w:next w:val="Normal"/>
    <w:autoRedefine/>
    <w:uiPriority w:val="99"/>
    <w:semiHidden/>
    <w:unhideWhenUsed/>
    <w:rsid w:val="00FC7E41"/>
    <w:pPr>
      <w:ind w:left="180" w:hanging="180"/>
    </w:pPr>
  </w:style>
  <w:style w:type="paragraph" w:styleId="Index2">
    <w:name w:val="index 2"/>
    <w:basedOn w:val="Normal"/>
    <w:next w:val="Normal"/>
    <w:autoRedefine/>
    <w:uiPriority w:val="99"/>
    <w:semiHidden/>
    <w:unhideWhenUsed/>
    <w:rsid w:val="00FC7E41"/>
    <w:pPr>
      <w:ind w:left="360" w:hanging="180"/>
    </w:pPr>
  </w:style>
  <w:style w:type="paragraph" w:styleId="Index3">
    <w:name w:val="index 3"/>
    <w:basedOn w:val="Normal"/>
    <w:next w:val="Normal"/>
    <w:autoRedefine/>
    <w:uiPriority w:val="99"/>
    <w:semiHidden/>
    <w:unhideWhenUsed/>
    <w:rsid w:val="00FC7E41"/>
    <w:pPr>
      <w:ind w:left="540" w:hanging="180"/>
    </w:pPr>
  </w:style>
  <w:style w:type="paragraph" w:styleId="Index4">
    <w:name w:val="index 4"/>
    <w:basedOn w:val="Normal"/>
    <w:next w:val="Normal"/>
    <w:autoRedefine/>
    <w:uiPriority w:val="99"/>
    <w:semiHidden/>
    <w:unhideWhenUsed/>
    <w:rsid w:val="00FC7E41"/>
    <w:pPr>
      <w:ind w:left="720" w:hanging="180"/>
    </w:pPr>
  </w:style>
  <w:style w:type="paragraph" w:styleId="Index5">
    <w:name w:val="index 5"/>
    <w:basedOn w:val="Normal"/>
    <w:next w:val="Normal"/>
    <w:autoRedefine/>
    <w:uiPriority w:val="99"/>
    <w:semiHidden/>
    <w:unhideWhenUsed/>
    <w:rsid w:val="00FC7E41"/>
    <w:pPr>
      <w:ind w:left="900" w:hanging="180"/>
    </w:pPr>
  </w:style>
  <w:style w:type="paragraph" w:styleId="Index6">
    <w:name w:val="index 6"/>
    <w:basedOn w:val="Normal"/>
    <w:next w:val="Normal"/>
    <w:autoRedefine/>
    <w:uiPriority w:val="99"/>
    <w:semiHidden/>
    <w:unhideWhenUsed/>
    <w:rsid w:val="00FC7E41"/>
    <w:pPr>
      <w:ind w:left="1080" w:hanging="180"/>
    </w:pPr>
  </w:style>
  <w:style w:type="paragraph" w:styleId="Index7">
    <w:name w:val="index 7"/>
    <w:basedOn w:val="Normal"/>
    <w:next w:val="Normal"/>
    <w:autoRedefine/>
    <w:uiPriority w:val="99"/>
    <w:semiHidden/>
    <w:unhideWhenUsed/>
    <w:rsid w:val="00FC7E41"/>
    <w:pPr>
      <w:ind w:left="1260" w:hanging="180"/>
    </w:pPr>
  </w:style>
  <w:style w:type="paragraph" w:styleId="Index8">
    <w:name w:val="index 8"/>
    <w:basedOn w:val="Normal"/>
    <w:next w:val="Normal"/>
    <w:autoRedefine/>
    <w:uiPriority w:val="99"/>
    <w:semiHidden/>
    <w:unhideWhenUsed/>
    <w:rsid w:val="00FC7E41"/>
    <w:pPr>
      <w:ind w:left="1440" w:hanging="180"/>
    </w:pPr>
  </w:style>
  <w:style w:type="paragraph" w:styleId="Index9">
    <w:name w:val="index 9"/>
    <w:basedOn w:val="Normal"/>
    <w:next w:val="Normal"/>
    <w:autoRedefine/>
    <w:uiPriority w:val="99"/>
    <w:semiHidden/>
    <w:unhideWhenUsed/>
    <w:rsid w:val="00FC7E41"/>
    <w:pPr>
      <w:ind w:left="1620" w:hanging="180"/>
    </w:pPr>
  </w:style>
  <w:style w:type="paragraph" w:styleId="IndexHeading">
    <w:name w:val="index heading"/>
    <w:basedOn w:val="Normal"/>
    <w:next w:val="Index1"/>
    <w:uiPriority w:val="99"/>
    <w:semiHidden/>
    <w:unhideWhenUsed/>
    <w:rsid w:val="00FC7E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7E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E41"/>
    <w:rPr>
      <w:rFonts w:ascii="Arial" w:hAnsi="Arial" w:cs="Arial"/>
      <w:b/>
      <w:bCs/>
      <w:i/>
      <w:iCs/>
      <w:color w:val="4F81BD" w:themeColor="accent1"/>
      <w:sz w:val="18"/>
      <w:szCs w:val="18"/>
    </w:rPr>
  </w:style>
  <w:style w:type="paragraph" w:styleId="List">
    <w:name w:val="List"/>
    <w:basedOn w:val="Normal"/>
    <w:uiPriority w:val="99"/>
    <w:semiHidden/>
    <w:unhideWhenUsed/>
    <w:rsid w:val="00FC7E41"/>
    <w:pPr>
      <w:ind w:left="283" w:hanging="283"/>
      <w:contextualSpacing/>
    </w:pPr>
  </w:style>
  <w:style w:type="paragraph" w:styleId="List2">
    <w:name w:val="List 2"/>
    <w:basedOn w:val="Normal"/>
    <w:uiPriority w:val="99"/>
    <w:semiHidden/>
    <w:unhideWhenUsed/>
    <w:rsid w:val="00FC7E41"/>
    <w:pPr>
      <w:ind w:left="566" w:hanging="283"/>
      <w:contextualSpacing/>
    </w:pPr>
  </w:style>
  <w:style w:type="paragraph" w:styleId="List3">
    <w:name w:val="List 3"/>
    <w:basedOn w:val="Normal"/>
    <w:uiPriority w:val="99"/>
    <w:semiHidden/>
    <w:unhideWhenUsed/>
    <w:rsid w:val="00FC7E41"/>
    <w:pPr>
      <w:ind w:left="849" w:hanging="283"/>
      <w:contextualSpacing/>
    </w:pPr>
  </w:style>
  <w:style w:type="paragraph" w:styleId="List4">
    <w:name w:val="List 4"/>
    <w:basedOn w:val="Normal"/>
    <w:uiPriority w:val="99"/>
    <w:semiHidden/>
    <w:unhideWhenUsed/>
    <w:rsid w:val="00FC7E41"/>
    <w:pPr>
      <w:ind w:left="1132" w:hanging="283"/>
      <w:contextualSpacing/>
    </w:pPr>
  </w:style>
  <w:style w:type="paragraph" w:styleId="List5">
    <w:name w:val="List 5"/>
    <w:basedOn w:val="Normal"/>
    <w:uiPriority w:val="99"/>
    <w:semiHidden/>
    <w:unhideWhenUsed/>
    <w:rsid w:val="00FC7E41"/>
    <w:pPr>
      <w:ind w:left="1415" w:hanging="283"/>
      <w:contextualSpacing/>
    </w:pPr>
  </w:style>
  <w:style w:type="paragraph" w:styleId="ListBullet">
    <w:name w:val="List Bullet"/>
    <w:basedOn w:val="Normal"/>
    <w:uiPriority w:val="99"/>
    <w:semiHidden/>
    <w:unhideWhenUsed/>
    <w:rsid w:val="00FC7E41"/>
    <w:pPr>
      <w:numPr>
        <w:numId w:val="6"/>
      </w:numPr>
      <w:contextualSpacing/>
    </w:pPr>
  </w:style>
  <w:style w:type="paragraph" w:styleId="ListBullet2">
    <w:name w:val="List Bullet 2"/>
    <w:basedOn w:val="Normal"/>
    <w:uiPriority w:val="99"/>
    <w:semiHidden/>
    <w:unhideWhenUsed/>
    <w:rsid w:val="00FC7E41"/>
    <w:pPr>
      <w:numPr>
        <w:numId w:val="7"/>
      </w:numPr>
      <w:contextualSpacing/>
    </w:pPr>
  </w:style>
  <w:style w:type="paragraph" w:styleId="ListBullet3">
    <w:name w:val="List Bullet 3"/>
    <w:basedOn w:val="Normal"/>
    <w:uiPriority w:val="99"/>
    <w:semiHidden/>
    <w:unhideWhenUsed/>
    <w:rsid w:val="00FC7E41"/>
    <w:pPr>
      <w:numPr>
        <w:numId w:val="8"/>
      </w:numPr>
      <w:contextualSpacing/>
    </w:pPr>
  </w:style>
  <w:style w:type="paragraph" w:styleId="ListBullet4">
    <w:name w:val="List Bullet 4"/>
    <w:basedOn w:val="Normal"/>
    <w:uiPriority w:val="99"/>
    <w:semiHidden/>
    <w:unhideWhenUsed/>
    <w:rsid w:val="00FC7E41"/>
    <w:pPr>
      <w:numPr>
        <w:numId w:val="9"/>
      </w:numPr>
      <w:contextualSpacing/>
    </w:pPr>
  </w:style>
  <w:style w:type="paragraph" w:styleId="ListBullet5">
    <w:name w:val="List Bullet 5"/>
    <w:basedOn w:val="Normal"/>
    <w:uiPriority w:val="99"/>
    <w:semiHidden/>
    <w:unhideWhenUsed/>
    <w:rsid w:val="00FC7E41"/>
    <w:pPr>
      <w:numPr>
        <w:numId w:val="10"/>
      </w:numPr>
      <w:contextualSpacing/>
    </w:pPr>
  </w:style>
  <w:style w:type="paragraph" w:styleId="ListContinue">
    <w:name w:val="List Continue"/>
    <w:basedOn w:val="Normal"/>
    <w:uiPriority w:val="99"/>
    <w:semiHidden/>
    <w:unhideWhenUsed/>
    <w:rsid w:val="00FC7E41"/>
    <w:pPr>
      <w:spacing w:after="120"/>
      <w:ind w:left="283"/>
      <w:contextualSpacing/>
    </w:pPr>
  </w:style>
  <w:style w:type="paragraph" w:styleId="ListContinue2">
    <w:name w:val="List Continue 2"/>
    <w:basedOn w:val="Normal"/>
    <w:uiPriority w:val="99"/>
    <w:semiHidden/>
    <w:unhideWhenUsed/>
    <w:rsid w:val="00FC7E41"/>
    <w:pPr>
      <w:spacing w:after="120"/>
      <w:ind w:left="566"/>
      <w:contextualSpacing/>
    </w:pPr>
  </w:style>
  <w:style w:type="paragraph" w:styleId="ListContinue3">
    <w:name w:val="List Continue 3"/>
    <w:basedOn w:val="Normal"/>
    <w:uiPriority w:val="99"/>
    <w:semiHidden/>
    <w:unhideWhenUsed/>
    <w:rsid w:val="00FC7E41"/>
    <w:pPr>
      <w:spacing w:after="120"/>
      <w:ind w:left="849"/>
      <w:contextualSpacing/>
    </w:pPr>
  </w:style>
  <w:style w:type="paragraph" w:styleId="ListContinue4">
    <w:name w:val="List Continue 4"/>
    <w:basedOn w:val="Normal"/>
    <w:uiPriority w:val="99"/>
    <w:semiHidden/>
    <w:unhideWhenUsed/>
    <w:rsid w:val="00FC7E41"/>
    <w:pPr>
      <w:spacing w:after="120"/>
      <w:ind w:left="1132"/>
      <w:contextualSpacing/>
    </w:pPr>
  </w:style>
  <w:style w:type="paragraph" w:styleId="ListContinue5">
    <w:name w:val="List Continue 5"/>
    <w:basedOn w:val="Normal"/>
    <w:uiPriority w:val="99"/>
    <w:semiHidden/>
    <w:unhideWhenUsed/>
    <w:rsid w:val="00FC7E41"/>
    <w:pPr>
      <w:spacing w:after="120"/>
      <w:ind w:left="1415"/>
      <w:contextualSpacing/>
    </w:pPr>
  </w:style>
  <w:style w:type="paragraph" w:styleId="ListNumber">
    <w:name w:val="List Number"/>
    <w:basedOn w:val="Normal"/>
    <w:uiPriority w:val="99"/>
    <w:semiHidden/>
    <w:unhideWhenUsed/>
    <w:rsid w:val="00FC7E41"/>
    <w:pPr>
      <w:numPr>
        <w:numId w:val="11"/>
      </w:numPr>
      <w:contextualSpacing/>
    </w:pPr>
  </w:style>
  <w:style w:type="paragraph" w:styleId="ListNumber2">
    <w:name w:val="List Number 2"/>
    <w:basedOn w:val="Normal"/>
    <w:uiPriority w:val="99"/>
    <w:semiHidden/>
    <w:unhideWhenUsed/>
    <w:rsid w:val="00FC7E41"/>
    <w:pPr>
      <w:numPr>
        <w:numId w:val="12"/>
      </w:numPr>
      <w:contextualSpacing/>
    </w:pPr>
  </w:style>
  <w:style w:type="paragraph" w:styleId="ListNumber3">
    <w:name w:val="List Number 3"/>
    <w:basedOn w:val="Normal"/>
    <w:uiPriority w:val="99"/>
    <w:semiHidden/>
    <w:unhideWhenUsed/>
    <w:rsid w:val="00FC7E41"/>
    <w:pPr>
      <w:numPr>
        <w:numId w:val="13"/>
      </w:numPr>
      <w:contextualSpacing/>
    </w:pPr>
  </w:style>
  <w:style w:type="paragraph" w:styleId="ListNumber4">
    <w:name w:val="List Number 4"/>
    <w:basedOn w:val="Normal"/>
    <w:uiPriority w:val="99"/>
    <w:semiHidden/>
    <w:unhideWhenUsed/>
    <w:rsid w:val="00FC7E41"/>
    <w:pPr>
      <w:numPr>
        <w:numId w:val="14"/>
      </w:numPr>
      <w:tabs>
        <w:tab w:val="clear" w:pos="1209"/>
        <w:tab w:val="num" w:pos="360"/>
      </w:tabs>
      <w:ind w:left="0" w:firstLine="0"/>
      <w:contextualSpacing/>
    </w:pPr>
  </w:style>
  <w:style w:type="paragraph" w:styleId="ListNumber5">
    <w:name w:val="List Number 5"/>
    <w:basedOn w:val="Normal"/>
    <w:uiPriority w:val="99"/>
    <w:semiHidden/>
    <w:unhideWhenUsed/>
    <w:rsid w:val="00FC7E41"/>
    <w:pPr>
      <w:numPr>
        <w:numId w:val="15"/>
      </w:numPr>
      <w:contextualSpacing/>
    </w:pPr>
  </w:style>
  <w:style w:type="paragraph" w:styleId="MacroText">
    <w:name w:val="macro"/>
    <w:link w:val="MacroTextChar"/>
    <w:uiPriority w:val="99"/>
    <w:semiHidden/>
    <w:unhideWhenUsed/>
    <w:rsid w:val="00FC7E4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Arial"/>
      <w:color w:val="000000"/>
      <w:sz w:val="20"/>
      <w:szCs w:val="20"/>
    </w:rPr>
  </w:style>
  <w:style w:type="character" w:customStyle="1" w:styleId="MacroTextChar">
    <w:name w:val="Macro Text Char"/>
    <w:basedOn w:val="DefaultParagraphFont"/>
    <w:link w:val="MacroText"/>
    <w:uiPriority w:val="99"/>
    <w:semiHidden/>
    <w:rsid w:val="00FC7E41"/>
    <w:rPr>
      <w:rFonts w:ascii="Consolas" w:hAnsi="Consolas" w:cs="Arial"/>
      <w:color w:val="000000"/>
      <w:sz w:val="20"/>
      <w:szCs w:val="20"/>
    </w:rPr>
  </w:style>
  <w:style w:type="paragraph" w:styleId="MessageHeader">
    <w:name w:val="Message Header"/>
    <w:basedOn w:val="Normal"/>
    <w:link w:val="MessageHeaderChar"/>
    <w:uiPriority w:val="99"/>
    <w:semiHidden/>
    <w:unhideWhenUsed/>
    <w:rsid w:val="00FC7E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7E41"/>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FC7E41"/>
    <w:pPr>
      <w:widowControl w:val="0"/>
      <w:autoSpaceDE w:val="0"/>
      <w:autoSpaceDN w:val="0"/>
      <w:adjustRightInd w:val="0"/>
      <w:spacing w:after="0" w:line="240" w:lineRule="auto"/>
    </w:pPr>
    <w:rPr>
      <w:rFonts w:ascii="Arial" w:hAnsi="Arial" w:cs="Arial"/>
      <w:color w:val="000000"/>
      <w:sz w:val="18"/>
      <w:szCs w:val="18"/>
    </w:rPr>
  </w:style>
  <w:style w:type="paragraph" w:styleId="NormalWeb">
    <w:name w:val="Normal (Web)"/>
    <w:basedOn w:val="Normal"/>
    <w:uiPriority w:val="99"/>
    <w:semiHidden/>
    <w:unhideWhenUsed/>
    <w:rsid w:val="00FC7E41"/>
    <w:rPr>
      <w:rFonts w:ascii="Times New Roman" w:hAnsi="Times New Roman" w:cs="Times New Roman"/>
      <w:sz w:val="24"/>
      <w:szCs w:val="24"/>
    </w:rPr>
  </w:style>
  <w:style w:type="paragraph" w:styleId="NormalIndent">
    <w:name w:val="Normal Indent"/>
    <w:basedOn w:val="Normal"/>
    <w:uiPriority w:val="99"/>
    <w:semiHidden/>
    <w:unhideWhenUsed/>
    <w:rsid w:val="00FC7E41"/>
    <w:pPr>
      <w:ind w:left="720"/>
    </w:pPr>
  </w:style>
  <w:style w:type="paragraph" w:styleId="NoteHeading">
    <w:name w:val="Note Heading"/>
    <w:basedOn w:val="Normal"/>
    <w:next w:val="Normal"/>
    <w:link w:val="NoteHeadingChar"/>
    <w:uiPriority w:val="99"/>
    <w:semiHidden/>
    <w:unhideWhenUsed/>
    <w:rsid w:val="00FC7E41"/>
  </w:style>
  <w:style w:type="character" w:customStyle="1" w:styleId="NoteHeadingChar">
    <w:name w:val="Note Heading Char"/>
    <w:basedOn w:val="DefaultParagraphFont"/>
    <w:link w:val="NoteHeading"/>
    <w:uiPriority w:val="99"/>
    <w:semiHidden/>
    <w:rsid w:val="00FC7E41"/>
    <w:rPr>
      <w:rFonts w:ascii="Arial" w:hAnsi="Arial" w:cs="Arial"/>
      <w:color w:val="000000"/>
      <w:sz w:val="18"/>
      <w:szCs w:val="18"/>
    </w:rPr>
  </w:style>
  <w:style w:type="paragraph" w:styleId="PlainText">
    <w:name w:val="Plain Text"/>
    <w:basedOn w:val="Normal"/>
    <w:link w:val="PlainTextChar"/>
    <w:uiPriority w:val="99"/>
    <w:semiHidden/>
    <w:unhideWhenUsed/>
    <w:rsid w:val="00FC7E41"/>
    <w:rPr>
      <w:rFonts w:ascii="Consolas" w:hAnsi="Consolas"/>
      <w:sz w:val="21"/>
      <w:szCs w:val="21"/>
    </w:rPr>
  </w:style>
  <w:style w:type="character" w:customStyle="1" w:styleId="PlainTextChar">
    <w:name w:val="Plain Text Char"/>
    <w:basedOn w:val="DefaultParagraphFont"/>
    <w:link w:val="PlainText"/>
    <w:uiPriority w:val="99"/>
    <w:semiHidden/>
    <w:rsid w:val="00FC7E41"/>
    <w:rPr>
      <w:rFonts w:ascii="Consolas" w:hAnsi="Consolas" w:cs="Arial"/>
      <w:color w:val="000000"/>
      <w:sz w:val="21"/>
      <w:szCs w:val="21"/>
    </w:rPr>
  </w:style>
  <w:style w:type="paragraph" w:styleId="Quote">
    <w:name w:val="Quote"/>
    <w:basedOn w:val="Normal"/>
    <w:next w:val="Normal"/>
    <w:link w:val="QuoteChar"/>
    <w:uiPriority w:val="29"/>
    <w:qFormat/>
    <w:rsid w:val="00FC7E41"/>
    <w:rPr>
      <w:i/>
      <w:iCs/>
      <w:color w:val="000000" w:themeColor="text1"/>
    </w:rPr>
  </w:style>
  <w:style w:type="character" w:customStyle="1" w:styleId="QuoteChar">
    <w:name w:val="Quote Char"/>
    <w:basedOn w:val="DefaultParagraphFont"/>
    <w:link w:val="Quote"/>
    <w:uiPriority w:val="29"/>
    <w:rsid w:val="00FC7E41"/>
    <w:rPr>
      <w:rFonts w:ascii="Arial" w:hAnsi="Arial" w:cs="Arial"/>
      <w:i/>
      <w:iCs/>
      <w:color w:val="000000" w:themeColor="text1"/>
      <w:sz w:val="18"/>
      <w:szCs w:val="18"/>
    </w:rPr>
  </w:style>
  <w:style w:type="paragraph" w:styleId="Salutation">
    <w:name w:val="Salutation"/>
    <w:basedOn w:val="Normal"/>
    <w:next w:val="Normal"/>
    <w:link w:val="SalutationChar"/>
    <w:uiPriority w:val="99"/>
    <w:semiHidden/>
    <w:unhideWhenUsed/>
    <w:rsid w:val="00FC7E41"/>
  </w:style>
  <w:style w:type="character" w:customStyle="1" w:styleId="SalutationChar">
    <w:name w:val="Salutation Char"/>
    <w:basedOn w:val="DefaultParagraphFont"/>
    <w:link w:val="Salutation"/>
    <w:uiPriority w:val="99"/>
    <w:semiHidden/>
    <w:rsid w:val="00FC7E41"/>
    <w:rPr>
      <w:rFonts w:ascii="Arial" w:hAnsi="Arial" w:cs="Arial"/>
      <w:color w:val="000000"/>
      <w:sz w:val="18"/>
      <w:szCs w:val="18"/>
    </w:rPr>
  </w:style>
  <w:style w:type="paragraph" w:styleId="Signature">
    <w:name w:val="Signature"/>
    <w:basedOn w:val="Normal"/>
    <w:link w:val="SignatureChar"/>
    <w:uiPriority w:val="99"/>
    <w:semiHidden/>
    <w:unhideWhenUsed/>
    <w:rsid w:val="00FC7E41"/>
    <w:pPr>
      <w:ind w:left="4252"/>
    </w:pPr>
  </w:style>
  <w:style w:type="character" w:customStyle="1" w:styleId="SignatureChar">
    <w:name w:val="Signature Char"/>
    <w:basedOn w:val="DefaultParagraphFont"/>
    <w:link w:val="Signature"/>
    <w:uiPriority w:val="99"/>
    <w:semiHidden/>
    <w:rsid w:val="00FC7E41"/>
    <w:rPr>
      <w:rFonts w:ascii="Arial" w:hAnsi="Arial" w:cs="Arial"/>
      <w:color w:val="000000"/>
      <w:sz w:val="18"/>
      <w:szCs w:val="18"/>
    </w:rPr>
  </w:style>
  <w:style w:type="paragraph" w:styleId="Subtitle">
    <w:name w:val="Subtitle"/>
    <w:basedOn w:val="Normal"/>
    <w:next w:val="Normal"/>
    <w:link w:val="SubtitleChar"/>
    <w:uiPriority w:val="11"/>
    <w:qFormat/>
    <w:rsid w:val="00FC7E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E4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C7E41"/>
    <w:pPr>
      <w:ind w:left="180" w:hanging="180"/>
    </w:pPr>
  </w:style>
  <w:style w:type="paragraph" w:styleId="TableofFigures">
    <w:name w:val="table of figures"/>
    <w:basedOn w:val="Normal"/>
    <w:next w:val="Normal"/>
    <w:uiPriority w:val="99"/>
    <w:semiHidden/>
    <w:unhideWhenUsed/>
    <w:rsid w:val="00FC7E41"/>
  </w:style>
  <w:style w:type="paragraph" w:styleId="Title">
    <w:name w:val="Title"/>
    <w:basedOn w:val="Normal"/>
    <w:next w:val="Normal"/>
    <w:link w:val="TitleChar"/>
    <w:uiPriority w:val="10"/>
    <w:qFormat/>
    <w:rsid w:val="00FC7E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E4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C7E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C7E41"/>
    <w:pPr>
      <w:spacing w:after="100"/>
    </w:pPr>
  </w:style>
  <w:style w:type="paragraph" w:styleId="TOC2">
    <w:name w:val="toc 2"/>
    <w:basedOn w:val="Normal"/>
    <w:next w:val="Normal"/>
    <w:autoRedefine/>
    <w:uiPriority w:val="39"/>
    <w:semiHidden/>
    <w:unhideWhenUsed/>
    <w:rsid w:val="00FC7E41"/>
    <w:pPr>
      <w:spacing w:after="100"/>
      <w:ind w:left="180"/>
    </w:pPr>
  </w:style>
  <w:style w:type="paragraph" w:styleId="TOC3">
    <w:name w:val="toc 3"/>
    <w:basedOn w:val="Normal"/>
    <w:next w:val="Normal"/>
    <w:autoRedefine/>
    <w:uiPriority w:val="39"/>
    <w:semiHidden/>
    <w:unhideWhenUsed/>
    <w:rsid w:val="00FC7E41"/>
    <w:pPr>
      <w:spacing w:after="100"/>
      <w:ind w:left="360"/>
    </w:pPr>
  </w:style>
  <w:style w:type="paragraph" w:styleId="TOC4">
    <w:name w:val="toc 4"/>
    <w:basedOn w:val="Normal"/>
    <w:next w:val="Normal"/>
    <w:autoRedefine/>
    <w:uiPriority w:val="39"/>
    <w:semiHidden/>
    <w:unhideWhenUsed/>
    <w:rsid w:val="00FC7E41"/>
    <w:pPr>
      <w:spacing w:after="100"/>
      <w:ind w:left="540"/>
    </w:pPr>
  </w:style>
  <w:style w:type="paragraph" w:styleId="TOC5">
    <w:name w:val="toc 5"/>
    <w:basedOn w:val="Normal"/>
    <w:next w:val="Normal"/>
    <w:autoRedefine/>
    <w:uiPriority w:val="39"/>
    <w:semiHidden/>
    <w:unhideWhenUsed/>
    <w:rsid w:val="00FC7E41"/>
    <w:pPr>
      <w:spacing w:after="100"/>
      <w:ind w:left="720"/>
    </w:pPr>
  </w:style>
  <w:style w:type="paragraph" w:styleId="TOC6">
    <w:name w:val="toc 6"/>
    <w:basedOn w:val="Normal"/>
    <w:next w:val="Normal"/>
    <w:autoRedefine/>
    <w:uiPriority w:val="39"/>
    <w:semiHidden/>
    <w:unhideWhenUsed/>
    <w:rsid w:val="00FC7E41"/>
    <w:pPr>
      <w:spacing w:after="100"/>
      <w:ind w:left="900"/>
    </w:pPr>
  </w:style>
  <w:style w:type="paragraph" w:styleId="TOC7">
    <w:name w:val="toc 7"/>
    <w:basedOn w:val="Normal"/>
    <w:next w:val="Normal"/>
    <w:autoRedefine/>
    <w:uiPriority w:val="39"/>
    <w:semiHidden/>
    <w:unhideWhenUsed/>
    <w:rsid w:val="00FC7E41"/>
    <w:pPr>
      <w:spacing w:after="100"/>
      <w:ind w:left="1080"/>
    </w:pPr>
  </w:style>
  <w:style w:type="paragraph" w:styleId="TOC8">
    <w:name w:val="toc 8"/>
    <w:basedOn w:val="Normal"/>
    <w:next w:val="Normal"/>
    <w:autoRedefine/>
    <w:uiPriority w:val="39"/>
    <w:semiHidden/>
    <w:unhideWhenUsed/>
    <w:rsid w:val="00FC7E41"/>
    <w:pPr>
      <w:spacing w:after="100"/>
      <w:ind w:left="1260"/>
    </w:pPr>
  </w:style>
  <w:style w:type="paragraph" w:styleId="TOC9">
    <w:name w:val="toc 9"/>
    <w:basedOn w:val="Normal"/>
    <w:next w:val="Normal"/>
    <w:autoRedefine/>
    <w:uiPriority w:val="39"/>
    <w:semiHidden/>
    <w:unhideWhenUsed/>
    <w:rsid w:val="00FC7E41"/>
    <w:pPr>
      <w:spacing w:after="100"/>
      <w:ind w:left="1440"/>
    </w:pPr>
  </w:style>
  <w:style w:type="paragraph" w:styleId="TOCHeading">
    <w:name w:val="TOC Heading"/>
    <w:basedOn w:val="Heading1"/>
    <w:next w:val="Normal"/>
    <w:uiPriority w:val="39"/>
    <w:semiHidden/>
    <w:unhideWhenUsed/>
    <w:qFormat/>
    <w:rsid w:val="00FC7E41"/>
    <w:pPr>
      <w:outlineLvl w:val="9"/>
    </w:pPr>
  </w:style>
  <w:style w:type="paragraph" w:customStyle="1" w:styleId="Note-Sub-normal2">
    <w:name w:val="Note - Sub-normal 2"/>
    <w:basedOn w:val="Note-Sub-normal"/>
    <w:uiPriority w:val="99"/>
    <w:qFormat/>
    <w:rsid w:val="00E02F42"/>
    <w:pPr>
      <w:tabs>
        <w:tab w:val="left" w:pos="1584"/>
      </w:tabs>
      <w:spacing w:line="206" w:lineRule="exact"/>
      <w:ind w:left="1152" w:right="72"/>
    </w:pPr>
    <w:rPr>
      <w:spacing w:val="-2"/>
    </w:rPr>
  </w:style>
  <w:style w:type="paragraph" w:customStyle="1" w:styleId="Default">
    <w:name w:val="Default"/>
    <w:rsid w:val="006D73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527">
      <w:bodyDiv w:val="1"/>
      <w:marLeft w:val="0"/>
      <w:marRight w:val="0"/>
      <w:marTop w:val="0"/>
      <w:marBottom w:val="0"/>
      <w:divBdr>
        <w:top w:val="none" w:sz="0" w:space="0" w:color="auto"/>
        <w:left w:val="none" w:sz="0" w:space="0" w:color="auto"/>
        <w:bottom w:val="none" w:sz="0" w:space="0" w:color="auto"/>
        <w:right w:val="none" w:sz="0" w:space="0" w:color="auto"/>
      </w:divBdr>
    </w:div>
    <w:div w:id="76486119">
      <w:bodyDiv w:val="1"/>
      <w:marLeft w:val="0"/>
      <w:marRight w:val="0"/>
      <w:marTop w:val="0"/>
      <w:marBottom w:val="0"/>
      <w:divBdr>
        <w:top w:val="none" w:sz="0" w:space="0" w:color="auto"/>
        <w:left w:val="none" w:sz="0" w:space="0" w:color="auto"/>
        <w:bottom w:val="none" w:sz="0" w:space="0" w:color="auto"/>
        <w:right w:val="none" w:sz="0" w:space="0" w:color="auto"/>
      </w:divBdr>
    </w:div>
    <w:div w:id="84618623">
      <w:bodyDiv w:val="1"/>
      <w:marLeft w:val="0"/>
      <w:marRight w:val="0"/>
      <w:marTop w:val="0"/>
      <w:marBottom w:val="0"/>
      <w:divBdr>
        <w:top w:val="none" w:sz="0" w:space="0" w:color="auto"/>
        <w:left w:val="none" w:sz="0" w:space="0" w:color="auto"/>
        <w:bottom w:val="none" w:sz="0" w:space="0" w:color="auto"/>
        <w:right w:val="none" w:sz="0" w:space="0" w:color="auto"/>
      </w:divBdr>
    </w:div>
    <w:div w:id="84809136">
      <w:bodyDiv w:val="1"/>
      <w:marLeft w:val="0"/>
      <w:marRight w:val="0"/>
      <w:marTop w:val="0"/>
      <w:marBottom w:val="0"/>
      <w:divBdr>
        <w:top w:val="none" w:sz="0" w:space="0" w:color="auto"/>
        <w:left w:val="none" w:sz="0" w:space="0" w:color="auto"/>
        <w:bottom w:val="none" w:sz="0" w:space="0" w:color="auto"/>
        <w:right w:val="none" w:sz="0" w:space="0" w:color="auto"/>
      </w:divBdr>
    </w:div>
    <w:div w:id="86271340">
      <w:bodyDiv w:val="1"/>
      <w:marLeft w:val="0"/>
      <w:marRight w:val="0"/>
      <w:marTop w:val="0"/>
      <w:marBottom w:val="0"/>
      <w:divBdr>
        <w:top w:val="none" w:sz="0" w:space="0" w:color="auto"/>
        <w:left w:val="none" w:sz="0" w:space="0" w:color="auto"/>
        <w:bottom w:val="none" w:sz="0" w:space="0" w:color="auto"/>
        <w:right w:val="none" w:sz="0" w:space="0" w:color="auto"/>
      </w:divBdr>
    </w:div>
    <w:div w:id="213926693">
      <w:bodyDiv w:val="1"/>
      <w:marLeft w:val="0"/>
      <w:marRight w:val="0"/>
      <w:marTop w:val="0"/>
      <w:marBottom w:val="0"/>
      <w:divBdr>
        <w:top w:val="none" w:sz="0" w:space="0" w:color="auto"/>
        <w:left w:val="none" w:sz="0" w:space="0" w:color="auto"/>
        <w:bottom w:val="none" w:sz="0" w:space="0" w:color="auto"/>
        <w:right w:val="none" w:sz="0" w:space="0" w:color="auto"/>
      </w:divBdr>
    </w:div>
    <w:div w:id="245113653">
      <w:bodyDiv w:val="1"/>
      <w:marLeft w:val="0"/>
      <w:marRight w:val="0"/>
      <w:marTop w:val="0"/>
      <w:marBottom w:val="0"/>
      <w:divBdr>
        <w:top w:val="none" w:sz="0" w:space="0" w:color="auto"/>
        <w:left w:val="none" w:sz="0" w:space="0" w:color="auto"/>
        <w:bottom w:val="none" w:sz="0" w:space="0" w:color="auto"/>
        <w:right w:val="none" w:sz="0" w:space="0" w:color="auto"/>
      </w:divBdr>
    </w:div>
    <w:div w:id="289363392">
      <w:bodyDiv w:val="1"/>
      <w:marLeft w:val="0"/>
      <w:marRight w:val="0"/>
      <w:marTop w:val="0"/>
      <w:marBottom w:val="0"/>
      <w:divBdr>
        <w:top w:val="none" w:sz="0" w:space="0" w:color="auto"/>
        <w:left w:val="none" w:sz="0" w:space="0" w:color="auto"/>
        <w:bottom w:val="none" w:sz="0" w:space="0" w:color="auto"/>
        <w:right w:val="none" w:sz="0" w:space="0" w:color="auto"/>
      </w:divBdr>
    </w:div>
    <w:div w:id="331033154">
      <w:bodyDiv w:val="1"/>
      <w:marLeft w:val="0"/>
      <w:marRight w:val="0"/>
      <w:marTop w:val="0"/>
      <w:marBottom w:val="0"/>
      <w:divBdr>
        <w:top w:val="none" w:sz="0" w:space="0" w:color="auto"/>
        <w:left w:val="none" w:sz="0" w:space="0" w:color="auto"/>
        <w:bottom w:val="none" w:sz="0" w:space="0" w:color="auto"/>
        <w:right w:val="none" w:sz="0" w:space="0" w:color="auto"/>
      </w:divBdr>
    </w:div>
    <w:div w:id="366414303">
      <w:bodyDiv w:val="1"/>
      <w:marLeft w:val="0"/>
      <w:marRight w:val="0"/>
      <w:marTop w:val="0"/>
      <w:marBottom w:val="0"/>
      <w:divBdr>
        <w:top w:val="none" w:sz="0" w:space="0" w:color="auto"/>
        <w:left w:val="none" w:sz="0" w:space="0" w:color="auto"/>
        <w:bottom w:val="none" w:sz="0" w:space="0" w:color="auto"/>
        <w:right w:val="none" w:sz="0" w:space="0" w:color="auto"/>
      </w:divBdr>
    </w:div>
    <w:div w:id="402339365">
      <w:bodyDiv w:val="1"/>
      <w:marLeft w:val="0"/>
      <w:marRight w:val="0"/>
      <w:marTop w:val="0"/>
      <w:marBottom w:val="0"/>
      <w:divBdr>
        <w:top w:val="none" w:sz="0" w:space="0" w:color="auto"/>
        <w:left w:val="none" w:sz="0" w:space="0" w:color="auto"/>
        <w:bottom w:val="none" w:sz="0" w:space="0" w:color="auto"/>
        <w:right w:val="none" w:sz="0" w:space="0" w:color="auto"/>
      </w:divBdr>
    </w:div>
    <w:div w:id="411439923">
      <w:bodyDiv w:val="1"/>
      <w:marLeft w:val="0"/>
      <w:marRight w:val="0"/>
      <w:marTop w:val="0"/>
      <w:marBottom w:val="0"/>
      <w:divBdr>
        <w:top w:val="none" w:sz="0" w:space="0" w:color="auto"/>
        <w:left w:val="none" w:sz="0" w:space="0" w:color="auto"/>
        <w:bottom w:val="none" w:sz="0" w:space="0" w:color="auto"/>
        <w:right w:val="none" w:sz="0" w:space="0" w:color="auto"/>
      </w:divBdr>
    </w:div>
    <w:div w:id="437676904">
      <w:bodyDiv w:val="1"/>
      <w:marLeft w:val="0"/>
      <w:marRight w:val="0"/>
      <w:marTop w:val="0"/>
      <w:marBottom w:val="0"/>
      <w:divBdr>
        <w:top w:val="none" w:sz="0" w:space="0" w:color="auto"/>
        <w:left w:val="none" w:sz="0" w:space="0" w:color="auto"/>
        <w:bottom w:val="none" w:sz="0" w:space="0" w:color="auto"/>
        <w:right w:val="none" w:sz="0" w:space="0" w:color="auto"/>
      </w:divBdr>
    </w:div>
    <w:div w:id="472328470">
      <w:bodyDiv w:val="1"/>
      <w:marLeft w:val="0"/>
      <w:marRight w:val="0"/>
      <w:marTop w:val="0"/>
      <w:marBottom w:val="0"/>
      <w:divBdr>
        <w:top w:val="none" w:sz="0" w:space="0" w:color="auto"/>
        <w:left w:val="none" w:sz="0" w:space="0" w:color="auto"/>
        <w:bottom w:val="none" w:sz="0" w:space="0" w:color="auto"/>
        <w:right w:val="none" w:sz="0" w:space="0" w:color="auto"/>
      </w:divBdr>
    </w:div>
    <w:div w:id="493451293">
      <w:bodyDiv w:val="1"/>
      <w:marLeft w:val="0"/>
      <w:marRight w:val="0"/>
      <w:marTop w:val="0"/>
      <w:marBottom w:val="0"/>
      <w:divBdr>
        <w:top w:val="none" w:sz="0" w:space="0" w:color="auto"/>
        <w:left w:val="none" w:sz="0" w:space="0" w:color="auto"/>
        <w:bottom w:val="none" w:sz="0" w:space="0" w:color="auto"/>
        <w:right w:val="none" w:sz="0" w:space="0" w:color="auto"/>
      </w:divBdr>
    </w:div>
    <w:div w:id="512719753">
      <w:bodyDiv w:val="1"/>
      <w:marLeft w:val="0"/>
      <w:marRight w:val="0"/>
      <w:marTop w:val="0"/>
      <w:marBottom w:val="0"/>
      <w:divBdr>
        <w:top w:val="none" w:sz="0" w:space="0" w:color="auto"/>
        <w:left w:val="none" w:sz="0" w:space="0" w:color="auto"/>
        <w:bottom w:val="none" w:sz="0" w:space="0" w:color="auto"/>
        <w:right w:val="none" w:sz="0" w:space="0" w:color="auto"/>
      </w:divBdr>
    </w:div>
    <w:div w:id="536963934">
      <w:bodyDiv w:val="1"/>
      <w:marLeft w:val="0"/>
      <w:marRight w:val="0"/>
      <w:marTop w:val="0"/>
      <w:marBottom w:val="0"/>
      <w:divBdr>
        <w:top w:val="none" w:sz="0" w:space="0" w:color="auto"/>
        <w:left w:val="none" w:sz="0" w:space="0" w:color="auto"/>
        <w:bottom w:val="none" w:sz="0" w:space="0" w:color="auto"/>
        <w:right w:val="none" w:sz="0" w:space="0" w:color="auto"/>
      </w:divBdr>
    </w:div>
    <w:div w:id="589583974">
      <w:bodyDiv w:val="1"/>
      <w:marLeft w:val="0"/>
      <w:marRight w:val="0"/>
      <w:marTop w:val="0"/>
      <w:marBottom w:val="0"/>
      <w:divBdr>
        <w:top w:val="none" w:sz="0" w:space="0" w:color="auto"/>
        <w:left w:val="none" w:sz="0" w:space="0" w:color="auto"/>
        <w:bottom w:val="none" w:sz="0" w:space="0" w:color="auto"/>
        <w:right w:val="none" w:sz="0" w:space="0" w:color="auto"/>
      </w:divBdr>
    </w:div>
    <w:div w:id="605885746">
      <w:bodyDiv w:val="1"/>
      <w:marLeft w:val="0"/>
      <w:marRight w:val="0"/>
      <w:marTop w:val="0"/>
      <w:marBottom w:val="0"/>
      <w:divBdr>
        <w:top w:val="none" w:sz="0" w:space="0" w:color="auto"/>
        <w:left w:val="none" w:sz="0" w:space="0" w:color="auto"/>
        <w:bottom w:val="none" w:sz="0" w:space="0" w:color="auto"/>
        <w:right w:val="none" w:sz="0" w:space="0" w:color="auto"/>
      </w:divBdr>
    </w:div>
    <w:div w:id="617302381">
      <w:bodyDiv w:val="1"/>
      <w:marLeft w:val="0"/>
      <w:marRight w:val="0"/>
      <w:marTop w:val="0"/>
      <w:marBottom w:val="0"/>
      <w:divBdr>
        <w:top w:val="none" w:sz="0" w:space="0" w:color="auto"/>
        <w:left w:val="none" w:sz="0" w:space="0" w:color="auto"/>
        <w:bottom w:val="none" w:sz="0" w:space="0" w:color="auto"/>
        <w:right w:val="none" w:sz="0" w:space="0" w:color="auto"/>
      </w:divBdr>
    </w:div>
    <w:div w:id="664360540">
      <w:bodyDiv w:val="1"/>
      <w:marLeft w:val="0"/>
      <w:marRight w:val="0"/>
      <w:marTop w:val="0"/>
      <w:marBottom w:val="0"/>
      <w:divBdr>
        <w:top w:val="none" w:sz="0" w:space="0" w:color="auto"/>
        <w:left w:val="none" w:sz="0" w:space="0" w:color="auto"/>
        <w:bottom w:val="none" w:sz="0" w:space="0" w:color="auto"/>
        <w:right w:val="none" w:sz="0" w:space="0" w:color="auto"/>
      </w:divBdr>
    </w:div>
    <w:div w:id="684595275">
      <w:bodyDiv w:val="1"/>
      <w:marLeft w:val="0"/>
      <w:marRight w:val="0"/>
      <w:marTop w:val="0"/>
      <w:marBottom w:val="0"/>
      <w:divBdr>
        <w:top w:val="none" w:sz="0" w:space="0" w:color="auto"/>
        <w:left w:val="none" w:sz="0" w:space="0" w:color="auto"/>
        <w:bottom w:val="none" w:sz="0" w:space="0" w:color="auto"/>
        <w:right w:val="none" w:sz="0" w:space="0" w:color="auto"/>
      </w:divBdr>
    </w:div>
    <w:div w:id="792015330">
      <w:bodyDiv w:val="1"/>
      <w:marLeft w:val="0"/>
      <w:marRight w:val="0"/>
      <w:marTop w:val="0"/>
      <w:marBottom w:val="0"/>
      <w:divBdr>
        <w:top w:val="none" w:sz="0" w:space="0" w:color="auto"/>
        <w:left w:val="none" w:sz="0" w:space="0" w:color="auto"/>
        <w:bottom w:val="none" w:sz="0" w:space="0" w:color="auto"/>
        <w:right w:val="none" w:sz="0" w:space="0" w:color="auto"/>
      </w:divBdr>
    </w:div>
    <w:div w:id="800881960">
      <w:bodyDiv w:val="1"/>
      <w:marLeft w:val="0"/>
      <w:marRight w:val="0"/>
      <w:marTop w:val="0"/>
      <w:marBottom w:val="0"/>
      <w:divBdr>
        <w:top w:val="none" w:sz="0" w:space="0" w:color="auto"/>
        <w:left w:val="none" w:sz="0" w:space="0" w:color="auto"/>
        <w:bottom w:val="none" w:sz="0" w:space="0" w:color="auto"/>
        <w:right w:val="none" w:sz="0" w:space="0" w:color="auto"/>
      </w:divBdr>
    </w:div>
    <w:div w:id="819082910">
      <w:bodyDiv w:val="1"/>
      <w:marLeft w:val="0"/>
      <w:marRight w:val="0"/>
      <w:marTop w:val="0"/>
      <w:marBottom w:val="0"/>
      <w:divBdr>
        <w:top w:val="none" w:sz="0" w:space="0" w:color="auto"/>
        <w:left w:val="none" w:sz="0" w:space="0" w:color="auto"/>
        <w:bottom w:val="none" w:sz="0" w:space="0" w:color="auto"/>
        <w:right w:val="none" w:sz="0" w:space="0" w:color="auto"/>
      </w:divBdr>
    </w:div>
    <w:div w:id="836192781">
      <w:bodyDiv w:val="1"/>
      <w:marLeft w:val="0"/>
      <w:marRight w:val="0"/>
      <w:marTop w:val="0"/>
      <w:marBottom w:val="0"/>
      <w:divBdr>
        <w:top w:val="none" w:sz="0" w:space="0" w:color="auto"/>
        <w:left w:val="none" w:sz="0" w:space="0" w:color="auto"/>
        <w:bottom w:val="none" w:sz="0" w:space="0" w:color="auto"/>
        <w:right w:val="none" w:sz="0" w:space="0" w:color="auto"/>
      </w:divBdr>
    </w:div>
    <w:div w:id="874545008">
      <w:bodyDiv w:val="1"/>
      <w:marLeft w:val="0"/>
      <w:marRight w:val="0"/>
      <w:marTop w:val="0"/>
      <w:marBottom w:val="0"/>
      <w:divBdr>
        <w:top w:val="none" w:sz="0" w:space="0" w:color="auto"/>
        <w:left w:val="none" w:sz="0" w:space="0" w:color="auto"/>
        <w:bottom w:val="none" w:sz="0" w:space="0" w:color="auto"/>
        <w:right w:val="none" w:sz="0" w:space="0" w:color="auto"/>
      </w:divBdr>
    </w:div>
    <w:div w:id="888566858">
      <w:bodyDiv w:val="1"/>
      <w:marLeft w:val="0"/>
      <w:marRight w:val="0"/>
      <w:marTop w:val="0"/>
      <w:marBottom w:val="0"/>
      <w:divBdr>
        <w:top w:val="none" w:sz="0" w:space="0" w:color="auto"/>
        <w:left w:val="none" w:sz="0" w:space="0" w:color="auto"/>
        <w:bottom w:val="none" w:sz="0" w:space="0" w:color="auto"/>
        <w:right w:val="none" w:sz="0" w:space="0" w:color="auto"/>
      </w:divBdr>
    </w:div>
    <w:div w:id="924454650">
      <w:bodyDiv w:val="1"/>
      <w:marLeft w:val="0"/>
      <w:marRight w:val="0"/>
      <w:marTop w:val="0"/>
      <w:marBottom w:val="0"/>
      <w:divBdr>
        <w:top w:val="none" w:sz="0" w:space="0" w:color="auto"/>
        <w:left w:val="none" w:sz="0" w:space="0" w:color="auto"/>
        <w:bottom w:val="none" w:sz="0" w:space="0" w:color="auto"/>
        <w:right w:val="none" w:sz="0" w:space="0" w:color="auto"/>
      </w:divBdr>
    </w:div>
    <w:div w:id="941299037">
      <w:bodyDiv w:val="1"/>
      <w:marLeft w:val="0"/>
      <w:marRight w:val="0"/>
      <w:marTop w:val="0"/>
      <w:marBottom w:val="0"/>
      <w:divBdr>
        <w:top w:val="none" w:sz="0" w:space="0" w:color="auto"/>
        <w:left w:val="none" w:sz="0" w:space="0" w:color="auto"/>
        <w:bottom w:val="none" w:sz="0" w:space="0" w:color="auto"/>
        <w:right w:val="none" w:sz="0" w:space="0" w:color="auto"/>
      </w:divBdr>
    </w:div>
    <w:div w:id="958143919">
      <w:bodyDiv w:val="1"/>
      <w:marLeft w:val="0"/>
      <w:marRight w:val="0"/>
      <w:marTop w:val="0"/>
      <w:marBottom w:val="0"/>
      <w:divBdr>
        <w:top w:val="none" w:sz="0" w:space="0" w:color="auto"/>
        <w:left w:val="none" w:sz="0" w:space="0" w:color="auto"/>
        <w:bottom w:val="none" w:sz="0" w:space="0" w:color="auto"/>
        <w:right w:val="none" w:sz="0" w:space="0" w:color="auto"/>
      </w:divBdr>
    </w:div>
    <w:div w:id="986129273">
      <w:bodyDiv w:val="1"/>
      <w:marLeft w:val="0"/>
      <w:marRight w:val="0"/>
      <w:marTop w:val="0"/>
      <w:marBottom w:val="0"/>
      <w:divBdr>
        <w:top w:val="none" w:sz="0" w:space="0" w:color="auto"/>
        <w:left w:val="none" w:sz="0" w:space="0" w:color="auto"/>
        <w:bottom w:val="none" w:sz="0" w:space="0" w:color="auto"/>
        <w:right w:val="none" w:sz="0" w:space="0" w:color="auto"/>
      </w:divBdr>
    </w:div>
    <w:div w:id="990215095">
      <w:bodyDiv w:val="1"/>
      <w:marLeft w:val="0"/>
      <w:marRight w:val="0"/>
      <w:marTop w:val="0"/>
      <w:marBottom w:val="0"/>
      <w:divBdr>
        <w:top w:val="none" w:sz="0" w:space="0" w:color="auto"/>
        <w:left w:val="none" w:sz="0" w:space="0" w:color="auto"/>
        <w:bottom w:val="none" w:sz="0" w:space="0" w:color="auto"/>
        <w:right w:val="none" w:sz="0" w:space="0" w:color="auto"/>
      </w:divBdr>
    </w:div>
    <w:div w:id="1005129755">
      <w:bodyDiv w:val="1"/>
      <w:marLeft w:val="0"/>
      <w:marRight w:val="0"/>
      <w:marTop w:val="0"/>
      <w:marBottom w:val="0"/>
      <w:divBdr>
        <w:top w:val="none" w:sz="0" w:space="0" w:color="auto"/>
        <w:left w:val="none" w:sz="0" w:space="0" w:color="auto"/>
        <w:bottom w:val="none" w:sz="0" w:space="0" w:color="auto"/>
        <w:right w:val="none" w:sz="0" w:space="0" w:color="auto"/>
      </w:divBdr>
    </w:div>
    <w:div w:id="1025325117">
      <w:bodyDiv w:val="1"/>
      <w:marLeft w:val="0"/>
      <w:marRight w:val="0"/>
      <w:marTop w:val="0"/>
      <w:marBottom w:val="0"/>
      <w:divBdr>
        <w:top w:val="none" w:sz="0" w:space="0" w:color="auto"/>
        <w:left w:val="none" w:sz="0" w:space="0" w:color="auto"/>
        <w:bottom w:val="none" w:sz="0" w:space="0" w:color="auto"/>
        <w:right w:val="none" w:sz="0" w:space="0" w:color="auto"/>
      </w:divBdr>
    </w:div>
    <w:div w:id="1043403405">
      <w:bodyDiv w:val="1"/>
      <w:marLeft w:val="0"/>
      <w:marRight w:val="0"/>
      <w:marTop w:val="0"/>
      <w:marBottom w:val="0"/>
      <w:divBdr>
        <w:top w:val="none" w:sz="0" w:space="0" w:color="auto"/>
        <w:left w:val="none" w:sz="0" w:space="0" w:color="auto"/>
        <w:bottom w:val="none" w:sz="0" w:space="0" w:color="auto"/>
        <w:right w:val="none" w:sz="0" w:space="0" w:color="auto"/>
      </w:divBdr>
    </w:div>
    <w:div w:id="1046107444">
      <w:bodyDiv w:val="1"/>
      <w:marLeft w:val="0"/>
      <w:marRight w:val="0"/>
      <w:marTop w:val="0"/>
      <w:marBottom w:val="0"/>
      <w:divBdr>
        <w:top w:val="none" w:sz="0" w:space="0" w:color="auto"/>
        <w:left w:val="none" w:sz="0" w:space="0" w:color="auto"/>
        <w:bottom w:val="none" w:sz="0" w:space="0" w:color="auto"/>
        <w:right w:val="none" w:sz="0" w:space="0" w:color="auto"/>
      </w:divBdr>
    </w:div>
    <w:div w:id="1061977947">
      <w:bodyDiv w:val="1"/>
      <w:marLeft w:val="0"/>
      <w:marRight w:val="0"/>
      <w:marTop w:val="0"/>
      <w:marBottom w:val="0"/>
      <w:divBdr>
        <w:top w:val="none" w:sz="0" w:space="0" w:color="auto"/>
        <w:left w:val="none" w:sz="0" w:space="0" w:color="auto"/>
        <w:bottom w:val="none" w:sz="0" w:space="0" w:color="auto"/>
        <w:right w:val="none" w:sz="0" w:space="0" w:color="auto"/>
      </w:divBdr>
    </w:div>
    <w:div w:id="1116489257">
      <w:bodyDiv w:val="1"/>
      <w:marLeft w:val="0"/>
      <w:marRight w:val="0"/>
      <w:marTop w:val="0"/>
      <w:marBottom w:val="0"/>
      <w:divBdr>
        <w:top w:val="none" w:sz="0" w:space="0" w:color="auto"/>
        <w:left w:val="none" w:sz="0" w:space="0" w:color="auto"/>
        <w:bottom w:val="none" w:sz="0" w:space="0" w:color="auto"/>
        <w:right w:val="none" w:sz="0" w:space="0" w:color="auto"/>
      </w:divBdr>
    </w:div>
    <w:div w:id="1119639624">
      <w:bodyDiv w:val="1"/>
      <w:marLeft w:val="0"/>
      <w:marRight w:val="0"/>
      <w:marTop w:val="0"/>
      <w:marBottom w:val="0"/>
      <w:divBdr>
        <w:top w:val="none" w:sz="0" w:space="0" w:color="auto"/>
        <w:left w:val="none" w:sz="0" w:space="0" w:color="auto"/>
        <w:bottom w:val="none" w:sz="0" w:space="0" w:color="auto"/>
        <w:right w:val="none" w:sz="0" w:space="0" w:color="auto"/>
      </w:divBdr>
    </w:div>
    <w:div w:id="1151866069">
      <w:bodyDiv w:val="1"/>
      <w:marLeft w:val="0"/>
      <w:marRight w:val="0"/>
      <w:marTop w:val="0"/>
      <w:marBottom w:val="0"/>
      <w:divBdr>
        <w:top w:val="none" w:sz="0" w:space="0" w:color="auto"/>
        <w:left w:val="none" w:sz="0" w:space="0" w:color="auto"/>
        <w:bottom w:val="none" w:sz="0" w:space="0" w:color="auto"/>
        <w:right w:val="none" w:sz="0" w:space="0" w:color="auto"/>
      </w:divBdr>
    </w:div>
    <w:div w:id="1173227063">
      <w:bodyDiv w:val="1"/>
      <w:marLeft w:val="0"/>
      <w:marRight w:val="0"/>
      <w:marTop w:val="0"/>
      <w:marBottom w:val="0"/>
      <w:divBdr>
        <w:top w:val="none" w:sz="0" w:space="0" w:color="auto"/>
        <w:left w:val="none" w:sz="0" w:space="0" w:color="auto"/>
        <w:bottom w:val="none" w:sz="0" w:space="0" w:color="auto"/>
        <w:right w:val="none" w:sz="0" w:space="0" w:color="auto"/>
      </w:divBdr>
    </w:div>
    <w:div w:id="1189100454">
      <w:bodyDiv w:val="1"/>
      <w:marLeft w:val="0"/>
      <w:marRight w:val="0"/>
      <w:marTop w:val="0"/>
      <w:marBottom w:val="0"/>
      <w:divBdr>
        <w:top w:val="none" w:sz="0" w:space="0" w:color="auto"/>
        <w:left w:val="none" w:sz="0" w:space="0" w:color="auto"/>
        <w:bottom w:val="none" w:sz="0" w:space="0" w:color="auto"/>
        <w:right w:val="none" w:sz="0" w:space="0" w:color="auto"/>
      </w:divBdr>
    </w:div>
    <w:div w:id="1195584360">
      <w:bodyDiv w:val="1"/>
      <w:marLeft w:val="0"/>
      <w:marRight w:val="0"/>
      <w:marTop w:val="0"/>
      <w:marBottom w:val="0"/>
      <w:divBdr>
        <w:top w:val="none" w:sz="0" w:space="0" w:color="auto"/>
        <w:left w:val="none" w:sz="0" w:space="0" w:color="auto"/>
        <w:bottom w:val="none" w:sz="0" w:space="0" w:color="auto"/>
        <w:right w:val="none" w:sz="0" w:space="0" w:color="auto"/>
      </w:divBdr>
    </w:div>
    <w:div w:id="1199928942">
      <w:bodyDiv w:val="1"/>
      <w:marLeft w:val="0"/>
      <w:marRight w:val="0"/>
      <w:marTop w:val="0"/>
      <w:marBottom w:val="0"/>
      <w:divBdr>
        <w:top w:val="none" w:sz="0" w:space="0" w:color="auto"/>
        <w:left w:val="none" w:sz="0" w:space="0" w:color="auto"/>
        <w:bottom w:val="none" w:sz="0" w:space="0" w:color="auto"/>
        <w:right w:val="none" w:sz="0" w:space="0" w:color="auto"/>
      </w:divBdr>
    </w:div>
    <w:div w:id="1213468106">
      <w:bodyDiv w:val="1"/>
      <w:marLeft w:val="0"/>
      <w:marRight w:val="0"/>
      <w:marTop w:val="0"/>
      <w:marBottom w:val="0"/>
      <w:divBdr>
        <w:top w:val="none" w:sz="0" w:space="0" w:color="auto"/>
        <w:left w:val="none" w:sz="0" w:space="0" w:color="auto"/>
        <w:bottom w:val="none" w:sz="0" w:space="0" w:color="auto"/>
        <w:right w:val="none" w:sz="0" w:space="0" w:color="auto"/>
      </w:divBdr>
    </w:div>
    <w:div w:id="1220630924">
      <w:bodyDiv w:val="1"/>
      <w:marLeft w:val="0"/>
      <w:marRight w:val="0"/>
      <w:marTop w:val="0"/>
      <w:marBottom w:val="0"/>
      <w:divBdr>
        <w:top w:val="none" w:sz="0" w:space="0" w:color="auto"/>
        <w:left w:val="none" w:sz="0" w:space="0" w:color="auto"/>
        <w:bottom w:val="none" w:sz="0" w:space="0" w:color="auto"/>
        <w:right w:val="none" w:sz="0" w:space="0" w:color="auto"/>
      </w:divBdr>
    </w:div>
    <w:div w:id="1252425257">
      <w:bodyDiv w:val="1"/>
      <w:marLeft w:val="0"/>
      <w:marRight w:val="0"/>
      <w:marTop w:val="0"/>
      <w:marBottom w:val="0"/>
      <w:divBdr>
        <w:top w:val="none" w:sz="0" w:space="0" w:color="auto"/>
        <w:left w:val="none" w:sz="0" w:space="0" w:color="auto"/>
        <w:bottom w:val="none" w:sz="0" w:space="0" w:color="auto"/>
        <w:right w:val="none" w:sz="0" w:space="0" w:color="auto"/>
      </w:divBdr>
    </w:div>
    <w:div w:id="1322200701">
      <w:bodyDiv w:val="1"/>
      <w:marLeft w:val="0"/>
      <w:marRight w:val="0"/>
      <w:marTop w:val="0"/>
      <w:marBottom w:val="0"/>
      <w:divBdr>
        <w:top w:val="none" w:sz="0" w:space="0" w:color="auto"/>
        <w:left w:val="none" w:sz="0" w:space="0" w:color="auto"/>
        <w:bottom w:val="none" w:sz="0" w:space="0" w:color="auto"/>
        <w:right w:val="none" w:sz="0" w:space="0" w:color="auto"/>
      </w:divBdr>
    </w:div>
    <w:div w:id="1331954728">
      <w:bodyDiv w:val="1"/>
      <w:marLeft w:val="0"/>
      <w:marRight w:val="0"/>
      <w:marTop w:val="0"/>
      <w:marBottom w:val="0"/>
      <w:divBdr>
        <w:top w:val="none" w:sz="0" w:space="0" w:color="auto"/>
        <w:left w:val="none" w:sz="0" w:space="0" w:color="auto"/>
        <w:bottom w:val="none" w:sz="0" w:space="0" w:color="auto"/>
        <w:right w:val="none" w:sz="0" w:space="0" w:color="auto"/>
      </w:divBdr>
    </w:div>
    <w:div w:id="1405958206">
      <w:bodyDiv w:val="1"/>
      <w:marLeft w:val="0"/>
      <w:marRight w:val="0"/>
      <w:marTop w:val="0"/>
      <w:marBottom w:val="0"/>
      <w:divBdr>
        <w:top w:val="none" w:sz="0" w:space="0" w:color="auto"/>
        <w:left w:val="none" w:sz="0" w:space="0" w:color="auto"/>
        <w:bottom w:val="none" w:sz="0" w:space="0" w:color="auto"/>
        <w:right w:val="none" w:sz="0" w:space="0" w:color="auto"/>
      </w:divBdr>
    </w:div>
    <w:div w:id="1427312124">
      <w:bodyDiv w:val="1"/>
      <w:marLeft w:val="0"/>
      <w:marRight w:val="0"/>
      <w:marTop w:val="0"/>
      <w:marBottom w:val="0"/>
      <w:divBdr>
        <w:top w:val="none" w:sz="0" w:space="0" w:color="auto"/>
        <w:left w:val="none" w:sz="0" w:space="0" w:color="auto"/>
        <w:bottom w:val="none" w:sz="0" w:space="0" w:color="auto"/>
        <w:right w:val="none" w:sz="0" w:space="0" w:color="auto"/>
      </w:divBdr>
    </w:div>
    <w:div w:id="1454517131">
      <w:bodyDiv w:val="1"/>
      <w:marLeft w:val="0"/>
      <w:marRight w:val="0"/>
      <w:marTop w:val="0"/>
      <w:marBottom w:val="0"/>
      <w:divBdr>
        <w:top w:val="none" w:sz="0" w:space="0" w:color="auto"/>
        <w:left w:val="none" w:sz="0" w:space="0" w:color="auto"/>
        <w:bottom w:val="none" w:sz="0" w:space="0" w:color="auto"/>
        <w:right w:val="none" w:sz="0" w:space="0" w:color="auto"/>
      </w:divBdr>
    </w:div>
    <w:div w:id="1490289383">
      <w:bodyDiv w:val="1"/>
      <w:marLeft w:val="0"/>
      <w:marRight w:val="0"/>
      <w:marTop w:val="0"/>
      <w:marBottom w:val="0"/>
      <w:divBdr>
        <w:top w:val="none" w:sz="0" w:space="0" w:color="auto"/>
        <w:left w:val="none" w:sz="0" w:space="0" w:color="auto"/>
        <w:bottom w:val="none" w:sz="0" w:space="0" w:color="auto"/>
        <w:right w:val="none" w:sz="0" w:space="0" w:color="auto"/>
      </w:divBdr>
    </w:div>
    <w:div w:id="1490749106">
      <w:bodyDiv w:val="1"/>
      <w:marLeft w:val="0"/>
      <w:marRight w:val="0"/>
      <w:marTop w:val="0"/>
      <w:marBottom w:val="0"/>
      <w:divBdr>
        <w:top w:val="none" w:sz="0" w:space="0" w:color="auto"/>
        <w:left w:val="none" w:sz="0" w:space="0" w:color="auto"/>
        <w:bottom w:val="none" w:sz="0" w:space="0" w:color="auto"/>
        <w:right w:val="none" w:sz="0" w:space="0" w:color="auto"/>
      </w:divBdr>
    </w:div>
    <w:div w:id="1494184007">
      <w:bodyDiv w:val="1"/>
      <w:marLeft w:val="0"/>
      <w:marRight w:val="0"/>
      <w:marTop w:val="0"/>
      <w:marBottom w:val="0"/>
      <w:divBdr>
        <w:top w:val="none" w:sz="0" w:space="0" w:color="auto"/>
        <w:left w:val="none" w:sz="0" w:space="0" w:color="auto"/>
        <w:bottom w:val="none" w:sz="0" w:space="0" w:color="auto"/>
        <w:right w:val="none" w:sz="0" w:space="0" w:color="auto"/>
      </w:divBdr>
    </w:div>
    <w:div w:id="1550072893">
      <w:bodyDiv w:val="1"/>
      <w:marLeft w:val="0"/>
      <w:marRight w:val="0"/>
      <w:marTop w:val="0"/>
      <w:marBottom w:val="0"/>
      <w:divBdr>
        <w:top w:val="none" w:sz="0" w:space="0" w:color="auto"/>
        <w:left w:val="none" w:sz="0" w:space="0" w:color="auto"/>
        <w:bottom w:val="none" w:sz="0" w:space="0" w:color="auto"/>
        <w:right w:val="none" w:sz="0" w:space="0" w:color="auto"/>
      </w:divBdr>
    </w:div>
    <w:div w:id="1578973760">
      <w:bodyDiv w:val="1"/>
      <w:marLeft w:val="0"/>
      <w:marRight w:val="0"/>
      <w:marTop w:val="0"/>
      <w:marBottom w:val="0"/>
      <w:divBdr>
        <w:top w:val="none" w:sz="0" w:space="0" w:color="auto"/>
        <w:left w:val="none" w:sz="0" w:space="0" w:color="auto"/>
        <w:bottom w:val="none" w:sz="0" w:space="0" w:color="auto"/>
        <w:right w:val="none" w:sz="0" w:space="0" w:color="auto"/>
      </w:divBdr>
    </w:div>
    <w:div w:id="1591893491">
      <w:bodyDiv w:val="1"/>
      <w:marLeft w:val="0"/>
      <w:marRight w:val="0"/>
      <w:marTop w:val="0"/>
      <w:marBottom w:val="0"/>
      <w:divBdr>
        <w:top w:val="none" w:sz="0" w:space="0" w:color="auto"/>
        <w:left w:val="none" w:sz="0" w:space="0" w:color="auto"/>
        <w:bottom w:val="none" w:sz="0" w:space="0" w:color="auto"/>
        <w:right w:val="none" w:sz="0" w:space="0" w:color="auto"/>
      </w:divBdr>
    </w:div>
    <w:div w:id="1615282855">
      <w:bodyDiv w:val="1"/>
      <w:marLeft w:val="0"/>
      <w:marRight w:val="0"/>
      <w:marTop w:val="0"/>
      <w:marBottom w:val="0"/>
      <w:divBdr>
        <w:top w:val="none" w:sz="0" w:space="0" w:color="auto"/>
        <w:left w:val="none" w:sz="0" w:space="0" w:color="auto"/>
        <w:bottom w:val="none" w:sz="0" w:space="0" w:color="auto"/>
        <w:right w:val="none" w:sz="0" w:space="0" w:color="auto"/>
      </w:divBdr>
    </w:div>
    <w:div w:id="1623462566">
      <w:bodyDiv w:val="1"/>
      <w:marLeft w:val="0"/>
      <w:marRight w:val="0"/>
      <w:marTop w:val="0"/>
      <w:marBottom w:val="0"/>
      <w:divBdr>
        <w:top w:val="none" w:sz="0" w:space="0" w:color="auto"/>
        <w:left w:val="none" w:sz="0" w:space="0" w:color="auto"/>
        <w:bottom w:val="none" w:sz="0" w:space="0" w:color="auto"/>
        <w:right w:val="none" w:sz="0" w:space="0" w:color="auto"/>
      </w:divBdr>
      <w:divsChild>
        <w:div w:id="1468812663">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sChild>
                <w:div w:id="1276446262">
                  <w:marLeft w:val="0"/>
                  <w:marRight w:val="0"/>
                  <w:marTop w:val="0"/>
                  <w:marBottom w:val="225"/>
                  <w:divBdr>
                    <w:top w:val="threeDEmboss" w:sz="12" w:space="0" w:color="EEEEEE"/>
                    <w:left w:val="threeDEmboss" w:sz="12" w:space="0" w:color="EEEEEE"/>
                    <w:bottom w:val="threeDEmboss" w:sz="12" w:space="0" w:color="EEEEEE"/>
                    <w:right w:val="threeDEmboss" w:sz="12" w:space="0" w:color="EEEEEE"/>
                  </w:divBdr>
                </w:div>
              </w:divsChild>
            </w:div>
          </w:divsChild>
        </w:div>
      </w:divsChild>
    </w:div>
    <w:div w:id="1643659830">
      <w:bodyDiv w:val="1"/>
      <w:marLeft w:val="0"/>
      <w:marRight w:val="0"/>
      <w:marTop w:val="0"/>
      <w:marBottom w:val="0"/>
      <w:divBdr>
        <w:top w:val="none" w:sz="0" w:space="0" w:color="auto"/>
        <w:left w:val="none" w:sz="0" w:space="0" w:color="auto"/>
        <w:bottom w:val="none" w:sz="0" w:space="0" w:color="auto"/>
        <w:right w:val="none" w:sz="0" w:space="0" w:color="auto"/>
      </w:divBdr>
    </w:div>
    <w:div w:id="1663194505">
      <w:bodyDiv w:val="1"/>
      <w:marLeft w:val="0"/>
      <w:marRight w:val="0"/>
      <w:marTop w:val="0"/>
      <w:marBottom w:val="0"/>
      <w:divBdr>
        <w:top w:val="none" w:sz="0" w:space="0" w:color="auto"/>
        <w:left w:val="none" w:sz="0" w:space="0" w:color="auto"/>
        <w:bottom w:val="none" w:sz="0" w:space="0" w:color="auto"/>
        <w:right w:val="none" w:sz="0" w:space="0" w:color="auto"/>
      </w:divBdr>
    </w:div>
    <w:div w:id="1804230182">
      <w:bodyDiv w:val="1"/>
      <w:marLeft w:val="0"/>
      <w:marRight w:val="0"/>
      <w:marTop w:val="0"/>
      <w:marBottom w:val="0"/>
      <w:divBdr>
        <w:top w:val="none" w:sz="0" w:space="0" w:color="auto"/>
        <w:left w:val="none" w:sz="0" w:space="0" w:color="auto"/>
        <w:bottom w:val="none" w:sz="0" w:space="0" w:color="auto"/>
        <w:right w:val="none" w:sz="0" w:space="0" w:color="auto"/>
      </w:divBdr>
    </w:div>
    <w:div w:id="1807427563">
      <w:bodyDiv w:val="1"/>
      <w:marLeft w:val="0"/>
      <w:marRight w:val="0"/>
      <w:marTop w:val="0"/>
      <w:marBottom w:val="0"/>
      <w:divBdr>
        <w:top w:val="none" w:sz="0" w:space="0" w:color="auto"/>
        <w:left w:val="none" w:sz="0" w:space="0" w:color="auto"/>
        <w:bottom w:val="none" w:sz="0" w:space="0" w:color="auto"/>
        <w:right w:val="none" w:sz="0" w:space="0" w:color="auto"/>
      </w:divBdr>
    </w:div>
    <w:div w:id="1836451161">
      <w:bodyDiv w:val="1"/>
      <w:marLeft w:val="0"/>
      <w:marRight w:val="0"/>
      <w:marTop w:val="0"/>
      <w:marBottom w:val="0"/>
      <w:divBdr>
        <w:top w:val="none" w:sz="0" w:space="0" w:color="auto"/>
        <w:left w:val="none" w:sz="0" w:space="0" w:color="auto"/>
        <w:bottom w:val="none" w:sz="0" w:space="0" w:color="auto"/>
        <w:right w:val="none" w:sz="0" w:space="0" w:color="auto"/>
      </w:divBdr>
    </w:div>
    <w:div w:id="1850606910">
      <w:bodyDiv w:val="1"/>
      <w:marLeft w:val="0"/>
      <w:marRight w:val="0"/>
      <w:marTop w:val="0"/>
      <w:marBottom w:val="0"/>
      <w:divBdr>
        <w:top w:val="none" w:sz="0" w:space="0" w:color="auto"/>
        <w:left w:val="none" w:sz="0" w:space="0" w:color="auto"/>
        <w:bottom w:val="none" w:sz="0" w:space="0" w:color="auto"/>
        <w:right w:val="none" w:sz="0" w:space="0" w:color="auto"/>
      </w:divBdr>
    </w:div>
    <w:div w:id="1899391954">
      <w:bodyDiv w:val="1"/>
      <w:marLeft w:val="0"/>
      <w:marRight w:val="0"/>
      <w:marTop w:val="0"/>
      <w:marBottom w:val="0"/>
      <w:divBdr>
        <w:top w:val="none" w:sz="0" w:space="0" w:color="auto"/>
        <w:left w:val="none" w:sz="0" w:space="0" w:color="auto"/>
        <w:bottom w:val="none" w:sz="0" w:space="0" w:color="auto"/>
        <w:right w:val="none" w:sz="0" w:space="0" w:color="auto"/>
      </w:divBdr>
    </w:div>
    <w:div w:id="1904097197">
      <w:bodyDiv w:val="1"/>
      <w:marLeft w:val="0"/>
      <w:marRight w:val="0"/>
      <w:marTop w:val="0"/>
      <w:marBottom w:val="0"/>
      <w:divBdr>
        <w:top w:val="none" w:sz="0" w:space="0" w:color="auto"/>
        <w:left w:val="none" w:sz="0" w:space="0" w:color="auto"/>
        <w:bottom w:val="none" w:sz="0" w:space="0" w:color="auto"/>
        <w:right w:val="none" w:sz="0" w:space="0" w:color="auto"/>
      </w:divBdr>
    </w:div>
    <w:div w:id="1957172444">
      <w:bodyDiv w:val="1"/>
      <w:marLeft w:val="0"/>
      <w:marRight w:val="0"/>
      <w:marTop w:val="0"/>
      <w:marBottom w:val="0"/>
      <w:divBdr>
        <w:top w:val="none" w:sz="0" w:space="0" w:color="auto"/>
        <w:left w:val="none" w:sz="0" w:space="0" w:color="auto"/>
        <w:bottom w:val="none" w:sz="0" w:space="0" w:color="auto"/>
        <w:right w:val="none" w:sz="0" w:space="0" w:color="auto"/>
      </w:divBdr>
    </w:div>
    <w:div w:id="1961380067">
      <w:bodyDiv w:val="1"/>
      <w:marLeft w:val="0"/>
      <w:marRight w:val="0"/>
      <w:marTop w:val="0"/>
      <w:marBottom w:val="0"/>
      <w:divBdr>
        <w:top w:val="none" w:sz="0" w:space="0" w:color="auto"/>
        <w:left w:val="none" w:sz="0" w:space="0" w:color="auto"/>
        <w:bottom w:val="none" w:sz="0" w:space="0" w:color="auto"/>
        <w:right w:val="none" w:sz="0" w:space="0" w:color="auto"/>
      </w:divBdr>
    </w:div>
    <w:div w:id="2074307044">
      <w:bodyDiv w:val="1"/>
      <w:marLeft w:val="0"/>
      <w:marRight w:val="0"/>
      <w:marTop w:val="0"/>
      <w:marBottom w:val="0"/>
      <w:divBdr>
        <w:top w:val="none" w:sz="0" w:space="0" w:color="auto"/>
        <w:left w:val="none" w:sz="0" w:space="0" w:color="auto"/>
        <w:bottom w:val="none" w:sz="0" w:space="0" w:color="auto"/>
        <w:right w:val="none" w:sz="0" w:space="0" w:color="auto"/>
      </w:divBdr>
    </w:div>
    <w:div w:id="2128817125">
      <w:bodyDiv w:val="1"/>
      <w:marLeft w:val="0"/>
      <w:marRight w:val="0"/>
      <w:marTop w:val="0"/>
      <w:marBottom w:val="0"/>
      <w:divBdr>
        <w:top w:val="none" w:sz="0" w:space="0" w:color="auto"/>
        <w:left w:val="none" w:sz="0" w:space="0" w:color="auto"/>
        <w:bottom w:val="none" w:sz="0" w:space="0" w:color="auto"/>
        <w:right w:val="none" w:sz="0" w:space="0" w:color="auto"/>
      </w:divBdr>
    </w:div>
    <w:div w:id="21388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5.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9.emf"/><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B3A384D2AA74D921654311374AED2" ma:contentTypeVersion="2" ma:contentTypeDescription="Create a new document." ma:contentTypeScope="" ma:versionID="16b894d8f89ec49aaa1c81ecccc52900">
  <xsd:schema xmlns:xsd="http://www.w3.org/2001/XMLSchema" xmlns:xs="http://www.w3.org/2001/XMLSchema" xmlns:p="http://schemas.microsoft.com/office/2006/metadata/properties" xmlns:ns2="fe147f54-6483-43f2-9617-1d76c6d5e2f3" targetNamespace="http://schemas.microsoft.com/office/2006/metadata/properties" ma:root="true" ma:fieldsID="ba8b1de83a2e83ae37c7b61bf209c911" ns2:_="">
    <xsd:import namespace="fe147f54-6483-43f2-9617-1d76c6d5e2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47f54-6483-43f2-9617-1d76c6d5e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D3FD-7DA9-4861-8058-8982BF6F8EDA}">
  <ds:schemaRefs>
    <ds:schemaRef ds:uri="http://schemas.microsoft.com/sharepoint/v3/contenttype/forms"/>
  </ds:schemaRefs>
</ds:datastoreItem>
</file>

<file path=customXml/itemProps2.xml><?xml version="1.0" encoding="utf-8"?>
<ds:datastoreItem xmlns:ds="http://schemas.openxmlformats.org/officeDocument/2006/customXml" ds:itemID="{4CBBF08B-155A-4188-8BE4-5D2A5496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47f54-6483-43f2-9617-1d76c6d5e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400EA-18F0-4645-BD61-294F5CE6E1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220E4-E7C3-458E-ABE7-B47B34CE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Matthewson</dc:creator>
  <cp:lastModifiedBy>Kelly de Groot</cp:lastModifiedBy>
  <cp:revision>15</cp:revision>
  <cp:lastPrinted>2017-08-16T16:35:00Z</cp:lastPrinted>
  <dcterms:created xsi:type="dcterms:W3CDTF">2017-08-16T15:17:00Z</dcterms:created>
  <dcterms:modified xsi:type="dcterms:W3CDTF">2017-08-16T20:45:00Z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0x0101004AFB3A384D2AA74D921654311374AED2</vt:lpwstr>
  </property>
</Properties>
</file>