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3217" w14:textId="471E4F49" w:rsidR="00094314" w:rsidRPr="00FD5324" w:rsidRDefault="00D7504D" w:rsidP="00F839D7">
      <w:pPr>
        <w:spacing w:after="0" w:line="240" w:lineRule="auto"/>
        <w:ind w:right="-180"/>
        <w:jc w:val="center"/>
        <w:rPr>
          <w:rFonts w:ascii="Book Antiqua" w:eastAsia="Times New Roman" w:hAnsi="Book Antiqua" w:cs="Times New Roman"/>
          <w:sz w:val="21"/>
          <w:szCs w:val="21"/>
        </w:rPr>
      </w:pPr>
      <w:r w:rsidRPr="00FD5324">
        <w:rPr>
          <w:rFonts w:ascii="Book Antiqua" w:eastAsia="Times New Roman" w:hAnsi="Book Antiqua" w:cs="Times New Roman"/>
          <w:bCs/>
          <w:sz w:val="21"/>
          <w:szCs w:val="21"/>
        </w:rPr>
        <w:t>HUMAN CAPITAL MANAGMENT</w:t>
      </w:r>
      <w:r w:rsidR="00280E30" w:rsidRPr="00FD5324">
        <w:rPr>
          <w:rFonts w:ascii="Book Antiqua" w:eastAsia="Times New Roman" w:hAnsi="Book Antiqua" w:cs="Times New Roman"/>
          <w:bCs/>
          <w:sz w:val="21"/>
          <w:szCs w:val="21"/>
        </w:rPr>
        <w:t xml:space="preserve"> AND </w:t>
      </w:r>
      <w:r w:rsidR="0070378A" w:rsidRPr="00FD5324">
        <w:rPr>
          <w:rFonts w:ascii="Book Antiqua" w:eastAsia="Times New Roman" w:hAnsi="Book Antiqua" w:cs="Times New Roman"/>
          <w:bCs/>
          <w:sz w:val="21"/>
          <w:szCs w:val="21"/>
        </w:rPr>
        <w:t>COMPENSATION COMMITTEE CHARTER OF</w:t>
      </w:r>
    </w:p>
    <w:p w14:paraId="03DF4678" w14:textId="77777777" w:rsidR="00F839D7" w:rsidRPr="00FD5324" w:rsidRDefault="0070378A" w:rsidP="00F839D7">
      <w:pPr>
        <w:spacing w:after="0" w:line="240" w:lineRule="auto"/>
        <w:ind w:right="-180"/>
        <w:jc w:val="center"/>
        <w:rPr>
          <w:rFonts w:ascii="Book Antiqua" w:eastAsia="Times New Roman" w:hAnsi="Book Antiqua" w:cs="Times New Roman"/>
          <w:bCs/>
          <w:sz w:val="21"/>
          <w:szCs w:val="21"/>
        </w:rPr>
      </w:pPr>
      <w:r w:rsidRPr="00FD5324">
        <w:rPr>
          <w:rFonts w:ascii="Book Antiqua" w:eastAsia="Times New Roman" w:hAnsi="Book Antiqua" w:cs="Times New Roman"/>
          <w:bCs/>
          <w:sz w:val="21"/>
          <w:szCs w:val="21"/>
        </w:rPr>
        <w:t>THERMON GROUP HOLDINGS, INC</w:t>
      </w:r>
      <w:r w:rsidR="00F839D7" w:rsidRPr="00FD5324">
        <w:rPr>
          <w:rFonts w:ascii="Book Antiqua" w:eastAsia="Times New Roman" w:hAnsi="Book Antiqua" w:cs="Times New Roman"/>
          <w:bCs/>
          <w:sz w:val="21"/>
          <w:szCs w:val="21"/>
        </w:rPr>
        <w:t>.</w:t>
      </w:r>
    </w:p>
    <w:p w14:paraId="279F2038" w14:textId="77777777" w:rsidR="00094314" w:rsidRPr="00FD5324" w:rsidRDefault="0070378A" w:rsidP="00F839D7">
      <w:pPr>
        <w:spacing w:after="0" w:line="240" w:lineRule="auto"/>
        <w:ind w:right="-180"/>
        <w:jc w:val="center"/>
        <w:rPr>
          <w:rFonts w:ascii="Book Antiqua" w:eastAsia="Times New Roman" w:hAnsi="Book Antiqua" w:cs="Times New Roman"/>
          <w:sz w:val="21"/>
          <w:szCs w:val="21"/>
        </w:rPr>
      </w:pPr>
      <w:r w:rsidRPr="00FD5324">
        <w:rPr>
          <w:rFonts w:ascii="Book Antiqua" w:eastAsia="Times New Roman" w:hAnsi="Book Antiqua" w:cs="Times New Roman"/>
          <w:bCs/>
          <w:sz w:val="21"/>
          <w:szCs w:val="21"/>
        </w:rPr>
        <w:t>(together with its</w:t>
      </w:r>
      <w:r w:rsidR="00F839D7" w:rsidRPr="00FD5324">
        <w:rPr>
          <w:rFonts w:ascii="Book Antiqua" w:eastAsia="Times New Roman" w:hAnsi="Book Antiqua" w:cs="Times New Roman"/>
          <w:bCs/>
          <w:sz w:val="21"/>
          <w:szCs w:val="21"/>
        </w:rPr>
        <w:t xml:space="preserve"> </w:t>
      </w:r>
      <w:r w:rsidRPr="00FD5324">
        <w:rPr>
          <w:rFonts w:ascii="Book Antiqua" w:eastAsia="Times New Roman" w:hAnsi="Book Antiqua" w:cs="Times New Roman"/>
          <w:bCs/>
          <w:sz w:val="21"/>
          <w:szCs w:val="21"/>
        </w:rPr>
        <w:t>direct and indirect subsidiaries, the “</w:t>
      </w:r>
      <w:r w:rsidRPr="00FD5324">
        <w:rPr>
          <w:rFonts w:ascii="Book Antiqua" w:eastAsia="Times New Roman" w:hAnsi="Book Antiqua" w:cs="Times New Roman"/>
          <w:bCs/>
          <w:sz w:val="21"/>
          <w:szCs w:val="21"/>
          <w:u w:val="single"/>
        </w:rPr>
        <w:t>Company</w:t>
      </w:r>
      <w:r w:rsidRPr="00FD5324">
        <w:rPr>
          <w:rFonts w:ascii="Book Antiqua" w:eastAsia="Times New Roman" w:hAnsi="Book Antiqua" w:cs="Times New Roman"/>
          <w:bCs/>
          <w:sz w:val="21"/>
          <w:szCs w:val="21"/>
        </w:rPr>
        <w:t>”)</w:t>
      </w:r>
    </w:p>
    <w:p w14:paraId="1EA3C7C8" w14:textId="77777777" w:rsidR="00094314" w:rsidRPr="00FD5324" w:rsidRDefault="00094314" w:rsidP="00F839D7">
      <w:pPr>
        <w:spacing w:after="0" w:line="240" w:lineRule="auto"/>
        <w:ind w:right="-180"/>
        <w:rPr>
          <w:rFonts w:ascii="Book Antiqua" w:hAnsi="Book Antiqua" w:cs="Times New Roman"/>
          <w:sz w:val="21"/>
          <w:szCs w:val="21"/>
        </w:rPr>
      </w:pPr>
    </w:p>
    <w:p w14:paraId="435A0578" w14:textId="0E020AB8" w:rsidR="00094314" w:rsidRPr="00FD5324" w:rsidRDefault="0070378A" w:rsidP="00F839D7">
      <w:pPr>
        <w:spacing w:after="0" w:line="240" w:lineRule="auto"/>
        <w:ind w:right="-180"/>
        <w:jc w:val="center"/>
        <w:rPr>
          <w:rFonts w:ascii="Book Antiqua" w:eastAsia="Times New Roman" w:hAnsi="Book Antiqua" w:cs="Times New Roman"/>
          <w:sz w:val="21"/>
          <w:szCs w:val="21"/>
        </w:rPr>
      </w:pPr>
      <w:r w:rsidRPr="00FD5324">
        <w:rPr>
          <w:rFonts w:ascii="Book Antiqua" w:eastAsia="Times New Roman" w:hAnsi="Book Antiqua" w:cs="Times New Roman"/>
          <w:bCs/>
          <w:sz w:val="21"/>
          <w:szCs w:val="21"/>
        </w:rPr>
        <w:t xml:space="preserve">As adopted by the board of directors of the Company, effective </w:t>
      </w:r>
      <w:r w:rsidR="005964B0" w:rsidRPr="00FD5324">
        <w:rPr>
          <w:rFonts w:ascii="Book Antiqua" w:eastAsia="Times New Roman" w:hAnsi="Book Antiqua" w:cs="Times New Roman"/>
          <w:bCs/>
          <w:sz w:val="21"/>
          <w:szCs w:val="21"/>
        </w:rPr>
        <w:t>January 2</w:t>
      </w:r>
      <w:r w:rsidR="00A003E7" w:rsidRPr="00FD5324">
        <w:rPr>
          <w:rFonts w:ascii="Book Antiqua" w:eastAsia="Times New Roman" w:hAnsi="Book Antiqua" w:cs="Times New Roman"/>
          <w:bCs/>
          <w:sz w:val="21"/>
          <w:szCs w:val="21"/>
        </w:rPr>
        <w:t>1</w:t>
      </w:r>
      <w:r w:rsidR="005964B0" w:rsidRPr="00FD5324">
        <w:rPr>
          <w:rFonts w:ascii="Book Antiqua" w:eastAsia="Times New Roman" w:hAnsi="Book Antiqua" w:cs="Times New Roman"/>
          <w:bCs/>
          <w:sz w:val="21"/>
          <w:szCs w:val="21"/>
        </w:rPr>
        <w:t>, 2021</w:t>
      </w:r>
      <w:r w:rsidR="00FD5324" w:rsidRPr="00FD5324">
        <w:rPr>
          <w:rFonts w:ascii="Book Antiqua" w:eastAsia="Times New Roman" w:hAnsi="Book Antiqua" w:cs="Times New Roman"/>
          <w:bCs/>
          <w:sz w:val="21"/>
          <w:szCs w:val="21"/>
        </w:rPr>
        <w:t>.</w:t>
      </w:r>
    </w:p>
    <w:p w14:paraId="6F909DE3" w14:textId="77777777" w:rsidR="00094314" w:rsidRPr="00FD5324" w:rsidRDefault="00094314" w:rsidP="00F839D7">
      <w:pPr>
        <w:spacing w:after="0" w:line="240" w:lineRule="auto"/>
        <w:ind w:right="-180"/>
        <w:rPr>
          <w:rFonts w:ascii="Book Antiqua" w:hAnsi="Book Antiqua" w:cs="Times New Roman"/>
          <w:sz w:val="21"/>
          <w:szCs w:val="21"/>
        </w:rPr>
      </w:pPr>
    </w:p>
    <w:p w14:paraId="1A0610BE" w14:textId="77777777" w:rsidR="00094314" w:rsidRPr="00FD5324" w:rsidRDefault="0070378A" w:rsidP="00F839D7">
      <w:pPr>
        <w:spacing w:after="0" w:line="240" w:lineRule="auto"/>
        <w:ind w:right="-180"/>
        <w:rPr>
          <w:rFonts w:ascii="Book Antiqua" w:eastAsia="Times New Roman" w:hAnsi="Book Antiqua" w:cs="Times New Roman"/>
          <w:sz w:val="21"/>
          <w:szCs w:val="21"/>
          <w:u w:val="single"/>
        </w:rPr>
      </w:pPr>
      <w:r w:rsidRPr="00FD5324">
        <w:rPr>
          <w:rFonts w:ascii="Book Antiqua" w:eastAsia="Times New Roman" w:hAnsi="Book Antiqua" w:cs="Times New Roman"/>
          <w:bCs/>
          <w:sz w:val="21"/>
          <w:szCs w:val="21"/>
          <w:u w:val="single"/>
        </w:rPr>
        <w:t>Purpose</w:t>
      </w:r>
    </w:p>
    <w:p w14:paraId="75BD057D" w14:textId="77777777" w:rsidR="00094314" w:rsidRPr="00FD5324" w:rsidRDefault="00094314" w:rsidP="00F839D7">
      <w:pPr>
        <w:spacing w:after="0" w:line="240" w:lineRule="auto"/>
        <w:ind w:right="-180"/>
        <w:rPr>
          <w:rFonts w:ascii="Book Antiqua" w:hAnsi="Book Antiqua" w:cs="Times New Roman"/>
          <w:sz w:val="21"/>
          <w:szCs w:val="21"/>
        </w:rPr>
      </w:pPr>
    </w:p>
    <w:p w14:paraId="6F887CA6" w14:textId="648A1413" w:rsidR="00094314" w:rsidRPr="00FD5324" w:rsidRDefault="00A9797F" w:rsidP="00F839D7">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 xml:space="preserve">The </w:t>
      </w:r>
      <w:r w:rsidR="0070378A" w:rsidRPr="00FD5324">
        <w:rPr>
          <w:rFonts w:ascii="Book Antiqua" w:eastAsia="Times New Roman" w:hAnsi="Book Antiqua" w:cs="Times New Roman"/>
          <w:sz w:val="21"/>
          <w:szCs w:val="21"/>
        </w:rPr>
        <w:t>purpo</w:t>
      </w:r>
      <w:r w:rsidRPr="00FD5324">
        <w:rPr>
          <w:rFonts w:ascii="Book Antiqua" w:eastAsia="Times New Roman" w:hAnsi="Book Antiqua" w:cs="Times New Roman"/>
          <w:sz w:val="21"/>
          <w:szCs w:val="21"/>
        </w:rPr>
        <w:t>se</w:t>
      </w:r>
      <w:r w:rsidR="0070378A" w:rsidRPr="00FD5324">
        <w:rPr>
          <w:rFonts w:ascii="Book Antiqua" w:eastAsia="Times New Roman" w:hAnsi="Book Antiqua" w:cs="Times New Roman"/>
          <w:sz w:val="21"/>
          <w:szCs w:val="21"/>
        </w:rPr>
        <w:t xml:space="preserve"> of the </w:t>
      </w:r>
      <w:r w:rsidR="00D7504D" w:rsidRPr="00FD5324">
        <w:rPr>
          <w:rFonts w:ascii="Book Antiqua" w:eastAsia="Times New Roman" w:hAnsi="Book Antiqua" w:cs="Times New Roman"/>
          <w:sz w:val="21"/>
          <w:szCs w:val="21"/>
        </w:rPr>
        <w:t xml:space="preserve">Human Capital Management </w:t>
      </w:r>
      <w:r w:rsidR="00FF7993" w:rsidRPr="00FD5324">
        <w:rPr>
          <w:rFonts w:ascii="Book Antiqua" w:eastAsia="Times New Roman" w:hAnsi="Book Antiqua" w:cs="Times New Roman"/>
          <w:sz w:val="21"/>
          <w:szCs w:val="21"/>
        </w:rPr>
        <w:t xml:space="preserve">and </w:t>
      </w:r>
      <w:r w:rsidR="0070378A" w:rsidRPr="00FD5324">
        <w:rPr>
          <w:rFonts w:ascii="Book Antiqua" w:eastAsia="Times New Roman" w:hAnsi="Book Antiqua" w:cs="Times New Roman"/>
          <w:sz w:val="21"/>
          <w:szCs w:val="21"/>
        </w:rPr>
        <w:t>Compensation Commit</w:t>
      </w:r>
      <w:r w:rsidRPr="00FD5324">
        <w:rPr>
          <w:rFonts w:ascii="Book Antiqua" w:eastAsia="Times New Roman" w:hAnsi="Book Antiqua" w:cs="Times New Roman"/>
          <w:sz w:val="21"/>
          <w:szCs w:val="21"/>
        </w:rPr>
        <w:t>tee (the</w:t>
      </w:r>
      <w:r w:rsidR="0070378A" w:rsidRPr="00FD5324">
        <w:rPr>
          <w:rFonts w:ascii="Book Antiqua" w:eastAsia="Times New Roman" w:hAnsi="Book Antiqua" w:cs="Times New Roman"/>
          <w:sz w:val="21"/>
          <w:szCs w:val="21"/>
        </w:rPr>
        <w:t xml:space="preserve"> “</w:t>
      </w:r>
      <w:r w:rsidR="0070378A" w:rsidRPr="00FD5324">
        <w:rPr>
          <w:rFonts w:ascii="Book Antiqua" w:eastAsia="Times New Roman" w:hAnsi="Book Antiqua" w:cs="Times New Roman"/>
          <w:sz w:val="21"/>
          <w:szCs w:val="21"/>
          <w:u w:val="single" w:color="000000"/>
        </w:rPr>
        <w:t>Committee</w:t>
      </w:r>
      <w:r w:rsidR="0070378A" w:rsidRPr="00FD5324">
        <w:rPr>
          <w:rFonts w:ascii="Book Antiqua" w:eastAsia="Times New Roman" w:hAnsi="Book Antiqua" w:cs="Times New Roman"/>
          <w:sz w:val="21"/>
          <w:szCs w:val="21"/>
        </w:rPr>
        <w:t>”</w:t>
      </w:r>
      <w:r w:rsidRPr="00FD5324">
        <w:rPr>
          <w:rFonts w:ascii="Book Antiqua" w:eastAsia="Times New Roman" w:hAnsi="Book Antiqua" w:cs="Times New Roman"/>
          <w:sz w:val="21"/>
          <w:szCs w:val="21"/>
        </w:rPr>
        <w:t>)</w:t>
      </w:r>
      <w:r w:rsidR="0070378A" w:rsidRPr="00FD5324">
        <w:rPr>
          <w:rFonts w:ascii="Book Antiqua" w:eastAsia="Times New Roman" w:hAnsi="Book Antiqua" w:cs="Times New Roman"/>
          <w:sz w:val="21"/>
          <w:szCs w:val="21"/>
        </w:rPr>
        <w:t xml:space="preserve"> </w:t>
      </w:r>
      <w:r w:rsidRPr="00FD5324">
        <w:rPr>
          <w:rFonts w:ascii="Book Antiqua" w:eastAsia="Times New Roman" w:hAnsi="Book Antiqua" w:cs="Times New Roman"/>
          <w:sz w:val="21"/>
          <w:szCs w:val="21"/>
        </w:rPr>
        <w:t>of</w:t>
      </w:r>
      <w:r w:rsidR="0070378A" w:rsidRPr="00FD5324">
        <w:rPr>
          <w:rFonts w:ascii="Book Antiqua" w:eastAsia="Times New Roman" w:hAnsi="Book Antiqua" w:cs="Times New Roman"/>
          <w:sz w:val="21"/>
          <w:szCs w:val="21"/>
        </w:rPr>
        <w:t xml:space="preserve"> the Board of Directors (the “</w:t>
      </w:r>
      <w:r w:rsidR="0070378A" w:rsidRPr="00FD5324">
        <w:rPr>
          <w:rFonts w:ascii="Book Antiqua" w:eastAsia="Times New Roman" w:hAnsi="Book Antiqua" w:cs="Times New Roman"/>
          <w:sz w:val="21"/>
          <w:szCs w:val="21"/>
          <w:u w:val="single" w:color="000000"/>
        </w:rPr>
        <w:t>Board</w:t>
      </w:r>
      <w:r w:rsidR="0070378A" w:rsidRPr="00FD5324">
        <w:rPr>
          <w:rFonts w:ascii="Book Antiqua" w:eastAsia="Times New Roman" w:hAnsi="Book Antiqua" w:cs="Times New Roman"/>
          <w:sz w:val="21"/>
          <w:szCs w:val="21"/>
        </w:rPr>
        <w:t>”) of the Company is to (</w:t>
      </w:r>
      <w:proofErr w:type="spellStart"/>
      <w:r w:rsidR="0070378A" w:rsidRPr="00FD5324">
        <w:rPr>
          <w:rFonts w:ascii="Book Antiqua" w:eastAsia="Times New Roman" w:hAnsi="Book Antiqua" w:cs="Times New Roman"/>
          <w:sz w:val="21"/>
          <w:szCs w:val="21"/>
        </w:rPr>
        <w:t>i</w:t>
      </w:r>
      <w:proofErr w:type="spellEnd"/>
      <w:r w:rsidR="0070378A" w:rsidRPr="00FD5324">
        <w:rPr>
          <w:rFonts w:ascii="Book Antiqua" w:eastAsia="Times New Roman" w:hAnsi="Book Antiqua" w:cs="Times New Roman"/>
          <w:sz w:val="21"/>
          <w:szCs w:val="21"/>
        </w:rPr>
        <w:t xml:space="preserve">) discharge the Board’s responsibilities relating to compensation </w:t>
      </w:r>
      <w:r w:rsidR="00E254D5" w:rsidRPr="00FD5324">
        <w:rPr>
          <w:rFonts w:ascii="Book Antiqua" w:eastAsia="Times New Roman" w:hAnsi="Book Antiqua" w:cs="Times New Roman"/>
          <w:sz w:val="21"/>
          <w:szCs w:val="21"/>
        </w:rPr>
        <w:t xml:space="preserve">and benefits </w:t>
      </w:r>
      <w:r w:rsidR="0070378A" w:rsidRPr="00FD5324">
        <w:rPr>
          <w:rFonts w:ascii="Book Antiqua" w:eastAsia="Times New Roman" w:hAnsi="Book Antiqua" w:cs="Times New Roman"/>
          <w:sz w:val="21"/>
          <w:szCs w:val="21"/>
        </w:rPr>
        <w:t xml:space="preserve">of the Company’s executive officers, (ii) review and recommend to the Board compensation </w:t>
      </w:r>
      <w:r w:rsidR="00DD41DE" w:rsidRPr="00FD5324">
        <w:rPr>
          <w:rFonts w:ascii="Book Antiqua" w:eastAsia="Times New Roman" w:hAnsi="Book Antiqua" w:cs="Times New Roman"/>
          <w:sz w:val="21"/>
          <w:szCs w:val="21"/>
        </w:rPr>
        <w:t xml:space="preserve">and benefits </w:t>
      </w:r>
      <w:r w:rsidR="0070378A" w:rsidRPr="00FD5324">
        <w:rPr>
          <w:rFonts w:ascii="Book Antiqua" w:eastAsia="Times New Roman" w:hAnsi="Book Antiqua" w:cs="Times New Roman"/>
          <w:sz w:val="21"/>
          <w:szCs w:val="21"/>
        </w:rPr>
        <w:t>plans, policies and programs, as well as approve individual executive officer compensation, intended to attract, re</w:t>
      </w:r>
      <w:r w:rsidRPr="00FD5324">
        <w:rPr>
          <w:rFonts w:ascii="Book Antiqua" w:eastAsia="Times New Roman" w:hAnsi="Book Antiqua" w:cs="Times New Roman"/>
          <w:sz w:val="21"/>
          <w:szCs w:val="21"/>
        </w:rPr>
        <w:t>tain</w:t>
      </w:r>
      <w:r w:rsidR="0070378A" w:rsidRPr="00FD5324">
        <w:rPr>
          <w:rFonts w:ascii="Book Antiqua" w:eastAsia="Times New Roman" w:hAnsi="Book Antiqua" w:cs="Times New Roman"/>
          <w:sz w:val="21"/>
          <w:szCs w:val="21"/>
        </w:rPr>
        <w:t xml:space="preserve"> a</w:t>
      </w:r>
      <w:r w:rsidRPr="00FD5324">
        <w:rPr>
          <w:rFonts w:ascii="Book Antiqua" w:eastAsia="Times New Roman" w:hAnsi="Book Antiqua" w:cs="Times New Roman"/>
          <w:sz w:val="21"/>
          <w:szCs w:val="21"/>
        </w:rPr>
        <w:t>nd</w:t>
      </w:r>
      <w:r w:rsidR="0070378A" w:rsidRPr="00FD5324">
        <w:rPr>
          <w:rFonts w:ascii="Book Antiqua" w:eastAsia="Times New Roman" w:hAnsi="Book Antiqua" w:cs="Times New Roman"/>
          <w:sz w:val="21"/>
          <w:szCs w:val="21"/>
        </w:rPr>
        <w:t xml:space="preserve"> appropriatel</w:t>
      </w:r>
      <w:r w:rsidRPr="00FD5324">
        <w:rPr>
          <w:rFonts w:ascii="Book Antiqua" w:eastAsia="Times New Roman" w:hAnsi="Book Antiqua" w:cs="Times New Roman"/>
          <w:sz w:val="21"/>
          <w:szCs w:val="21"/>
        </w:rPr>
        <w:t>y</w:t>
      </w:r>
      <w:r w:rsidR="0070378A" w:rsidRPr="00FD5324">
        <w:rPr>
          <w:rFonts w:ascii="Book Antiqua" w:eastAsia="Times New Roman" w:hAnsi="Book Antiqua" w:cs="Times New Roman"/>
          <w:sz w:val="21"/>
          <w:szCs w:val="21"/>
        </w:rPr>
        <w:t xml:space="preserve"> reward employee</w:t>
      </w:r>
      <w:r w:rsidRPr="00FD5324">
        <w:rPr>
          <w:rFonts w:ascii="Book Antiqua" w:eastAsia="Times New Roman" w:hAnsi="Book Antiqua" w:cs="Times New Roman"/>
          <w:sz w:val="21"/>
          <w:szCs w:val="21"/>
        </w:rPr>
        <w:t>s</w:t>
      </w:r>
      <w:r w:rsidR="0070378A" w:rsidRPr="00FD5324">
        <w:rPr>
          <w:rFonts w:ascii="Book Antiqua" w:eastAsia="Times New Roman" w:hAnsi="Book Antiqua" w:cs="Times New Roman"/>
          <w:sz w:val="21"/>
          <w:szCs w:val="21"/>
        </w:rPr>
        <w:t xml:space="preserve"> in orde</w:t>
      </w:r>
      <w:r w:rsidRPr="00FD5324">
        <w:rPr>
          <w:rFonts w:ascii="Book Antiqua" w:eastAsia="Times New Roman" w:hAnsi="Book Antiqua" w:cs="Times New Roman"/>
          <w:sz w:val="21"/>
          <w:szCs w:val="21"/>
        </w:rPr>
        <w:t>r</w:t>
      </w:r>
      <w:r w:rsidR="0070378A" w:rsidRPr="00FD5324">
        <w:rPr>
          <w:rFonts w:ascii="Book Antiqua" w:eastAsia="Times New Roman" w:hAnsi="Book Antiqua" w:cs="Times New Roman"/>
          <w:sz w:val="21"/>
          <w:szCs w:val="21"/>
        </w:rPr>
        <w:t xml:space="preserve"> to motivate their performance in the achievement of the Company’s business objectives and align their interests with the long-term interests of the Company’s </w:t>
      </w:r>
      <w:r w:rsidRPr="00FD5324">
        <w:rPr>
          <w:rFonts w:ascii="Book Antiqua" w:eastAsia="Times New Roman" w:hAnsi="Book Antiqua" w:cs="Times New Roman"/>
          <w:sz w:val="21"/>
          <w:szCs w:val="21"/>
        </w:rPr>
        <w:t>stockholders</w:t>
      </w:r>
      <w:r w:rsidR="00F51772" w:rsidRPr="00FD5324">
        <w:rPr>
          <w:rFonts w:ascii="Book Antiqua" w:eastAsia="Times New Roman" w:hAnsi="Book Antiqua" w:cs="Times New Roman"/>
          <w:sz w:val="21"/>
          <w:szCs w:val="21"/>
        </w:rPr>
        <w:t xml:space="preserve">, </w:t>
      </w:r>
      <w:r w:rsidR="0070378A" w:rsidRPr="00FD5324">
        <w:rPr>
          <w:rFonts w:ascii="Book Antiqua" w:eastAsia="Times New Roman" w:hAnsi="Book Antiqua" w:cs="Times New Roman"/>
          <w:sz w:val="21"/>
          <w:szCs w:val="21"/>
        </w:rPr>
        <w:t>(iii) prepare the compensation committee report on executive compensation required to be included in the Company’s annual report or proxy statement</w:t>
      </w:r>
      <w:r w:rsidR="00E377BE" w:rsidRPr="00FD5324">
        <w:rPr>
          <w:rFonts w:ascii="Book Antiqua" w:eastAsia="Times New Roman" w:hAnsi="Book Antiqua" w:cs="Times New Roman"/>
          <w:sz w:val="21"/>
          <w:szCs w:val="21"/>
        </w:rPr>
        <w:t xml:space="preserve"> relating to the election of directors</w:t>
      </w:r>
      <w:r w:rsidR="007212F3" w:rsidRPr="00FD5324">
        <w:rPr>
          <w:rFonts w:ascii="Book Antiqua" w:eastAsia="Times New Roman" w:hAnsi="Book Antiqua" w:cs="Times New Roman"/>
          <w:sz w:val="21"/>
          <w:szCs w:val="21"/>
        </w:rPr>
        <w:t xml:space="preserve">, </w:t>
      </w:r>
      <w:r w:rsidR="00F51772" w:rsidRPr="00FD5324">
        <w:rPr>
          <w:rFonts w:ascii="Book Antiqua" w:eastAsia="Times New Roman" w:hAnsi="Book Antiqua" w:cs="Times New Roman"/>
          <w:sz w:val="21"/>
          <w:szCs w:val="21"/>
        </w:rPr>
        <w:t xml:space="preserve"> (i</w:t>
      </w:r>
      <w:r w:rsidR="002251DA" w:rsidRPr="00FD5324">
        <w:rPr>
          <w:rFonts w:ascii="Book Antiqua" w:eastAsia="Times New Roman" w:hAnsi="Book Antiqua" w:cs="Times New Roman"/>
          <w:sz w:val="21"/>
          <w:szCs w:val="21"/>
        </w:rPr>
        <w:t>v</w:t>
      </w:r>
      <w:r w:rsidR="00F51772" w:rsidRPr="00FD5324">
        <w:rPr>
          <w:rFonts w:ascii="Book Antiqua" w:eastAsia="Times New Roman" w:hAnsi="Book Antiqua" w:cs="Times New Roman"/>
          <w:sz w:val="21"/>
          <w:szCs w:val="21"/>
        </w:rPr>
        <w:t>)</w:t>
      </w:r>
      <w:r w:rsidR="00902E68" w:rsidRPr="00FD5324">
        <w:rPr>
          <w:rFonts w:ascii="Book Antiqua" w:eastAsia="Times New Roman" w:hAnsi="Book Antiqua" w:cs="Times New Roman"/>
          <w:sz w:val="21"/>
          <w:szCs w:val="21"/>
        </w:rPr>
        <w:t xml:space="preserve"> </w:t>
      </w:r>
      <w:r w:rsidR="007212F3" w:rsidRPr="00FD5324">
        <w:rPr>
          <w:rFonts w:ascii="Book Antiqua" w:eastAsia="Times New Roman" w:hAnsi="Book Antiqua" w:cs="Times New Roman"/>
          <w:sz w:val="21"/>
          <w:szCs w:val="21"/>
        </w:rPr>
        <w:t>oversee the Company’s strategies and policies related to human capital management</w:t>
      </w:r>
      <w:r w:rsidR="00F919EB" w:rsidRPr="00FD5324">
        <w:rPr>
          <w:rFonts w:ascii="Book Antiqua" w:eastAsia="Times New Roman" w:hAnsi="Book Antiqua" w:cs="Times New Roman"/>
          <w:sz w:val="21"/>
          <w:szCs w:val="21"/>
        </w:rPr>
        <w:t>,</w:t>
      </w:r>
      <w:r w:rsidR="00B27981" w:rsidRPr="00FD5324">
        <w:rPr>
          <w:rFonts w:ascii="Book Antiqua" w:eastAsia="Times New Roman" w:hAnsi="Book Antiqua" w:cs="Times New Roman"/>
          <w:sz w:val="21"/>
          <w:szCs w:val="21"/>
        </w:rPr>
        <w:t xml:space="preserve"> </w:t>
      </w:r>
      <w:r w:rsidR="002414F7" w:rsidRPr="00FD5324">
        <w:rPr>
          <w:rFonts w:ascii="Book Antiqua" w:eastAsia="Times New Roman" w:hAnsi="Book Antiqua" w:cs="Times New Roman"/>
          <w:sz w:val="21"/>
          <w:szCs w:val="21"/>
        </w:rPr>
        <w:t xml:space="preserve">including </w:t>
      </w:r>
      <w:r w:rsidR="00F919EB" w:rsidRPr="00FD5324">
        <w:rPr>
          <w:rFonts w:ascii="Book Antiqua" w:eastAsia="Times New Roman" w:hAnsi="Book Antiqua" w:cs="Times New Roman"/>
          <w:sz w:val="21"/>
          <w:szCs w:val="21"/>
        </w:rPr>
        <w:t>diversity</w:t>
      </w:r>
      <w:r w:rsidR="00F554A9" w:rsidRPr="00FD5324">
        <w:rPr>
          <w:rFonts w:ascii="Book Antiqua" w:eastAsia="Times New Roman" w:hAnsi="Book Antiqua" w:cs="Times New Roman"/>
          <w:sz w:val="21"/>
          <w:szCs w:val="21"/>
        </w:rPr>
        <w:t xml:space="preserve"> and</w:t>
      </w:r>
      <w:r w:rsidR="00F919EB" w:rsidRPr="00FD5324">
        <w:rPr>
          <w:rFonts w:ascii="Book Antiqua" w:eastAsia="Times New Roman" w:hAnsi="Book Antiqua" w:cs="Times New Roman"/>
          <w:sz w:val="21"/>
          <w:szCs w:val="21"/>
        </w:rPr>
        <w:t xml:space="preserve"> inclusion</w:t>
      </w:r>
      <w:r w:rsidR="002414F7" w:rsidRPr="00FD5324">
        <w:rPr>
          <w:rFonts w:ascii="Book Antiqua" w:eastAsia="Times New Roman" w:hAnsi="Book Antiqua" w:cs="Times New Roman"/>
          <w:sz w:val="21"/>
          <w:szCs w:val="21"/>
        </w:rPr>
        <w:t xml:space="preserve"> </w:t>
      </w:r>
      <w:r w:rsidR="007212F3" w:rsidRPr="00FD5324">
        <w:rPr>
          <w:rFonts w:ascii="Book Antiqua" w:eastAsia="Times New Roman" w:hAnsi="Book Antiqua" w:cs="Times New Roman"/>
          <w:sz w:val="21"/>
          <w:szCs w:val="21"/>
        </w:rPr>
        <w:t>and (v)</w:t>
      </w:r>
      <w:r w:rsidR="00BD5E9B" w:rsidRPr="00FD5324">
        <w:rPr>
          <w:rFonts w:ascii="Book Antiqua" w:eastAsia="Times New Roman" w:hAnsi="Book Antiqua" w:cs="Times New Roman"/>
          <w:sz w:val="21"/>
          <w:szCs w:val="21"/>
        </w:rPr>
        <w:t xml:space="preserve"> </w:t>
      </w:r>
      <w:r w:rsidR="007212F3" w:rsidRPr="00FD5324">
        <w:rPr>
          <w:rFonts w:ascii="Book Antiqua" w:eastAsia="Times New Roman" w:hAnsi="Book Antiqua" w:cs="Times New Roman"/>
          <w:sz w:val="21"/>
          <w:szCs w:val="21"/>
        </w:rPr>
        <w:t xml:space="preserve">oversee the Company’s programs and </w:t>
      </w:r>
      <w:r w:rsidR="00AD627F" w:rsidRPr="00FD5324">
        <w:rPr>
          <w:rFonts w:ascii="Book Antiqua" w:eastAsia="Times New Roman" w:hAnsi="Book Antiqua" w:cs="Times New Roman"/>
          <w:sz w:val="21"/>
          <w:szCs w:val="21"/>
        </w:rPr>
        <w:t>practices</w:t>
      </w:r>
      <w:r w:rsidR="007212F3" w:rsidRPr="00FD5324">
        <w:rPr>
          <w:rFonts w:ascii="Book Antiqua" w:eastAsia="Times New Roman" w:hAnsi="Book Antiqua" w:cs="Times New Roman"/>
          <w:sz w:val="21"/>
          <w:szCs w:val="21"/>
        </w:rPr>
        <w:t xml:space="preserve"> relating to talent and leadership </w:t>
      </w:r>
      <w:r w:rsidR="00AD627F" w:rsidRPr="00FD5324">
        <w:rPr>
          <w:rFonts w:ascii="Book Antiqua" w:eastAsia="Times New Roman" w:hAnsi="Book Antiqua" w:cs="Times New Roman"/>
          <w:sz w:val="21"/>
          <w:szCs w:val="21"/>
        </w:rPr>
        <w:t>development</w:t>
      </w:r>
      <w:r w:rsidR="00450CB3" w:rsidRPr="00FD5324">
        <w:rPr>
          <w:rFonts w:ascii="Book Antiqua" w:eastAsia="Times New Roman" w:hAnsi="Book Antiqua" w:cs="Times New Roman"/>
          <w:sz w:val="21"/>
          <w:szCs w:val="21"/>
        </w:rPr>
        <w:t>.</w:t>
      </w:r>
    </w:p>
    <w:p w14:paraId="6222F067" w14:textId="77777777" w:rsidR="00094314" w:rsidRPr="00FD5324" w:rsidRDefault="00094314" w:rsidP="00F839D7">
      <w:pPr>
        <w:spacing w:after="0" w:line="240" w:lineRule="auto"/>
        <w:ind w:right="-180"/>
        <w:rPr>
          <w:rFonts w:ascii="Book Antiqua" w:hAnsi="Book Antiqua" w:cs="Times New Roman"/>
          <w:sz w:val="21"/>
          <w:szCs w:val="21"/>
        </w:rPr>
      </w:pPr>
    </w:p>
    <w:p w14:paraId="716D823F" w14:textId="77777777" w:rsidR="00094314" w:rsidRPr="00FD5324" w:rsidRDefault="0070378A" w:rsidP="00F839D7">
      <w:pPr>
        <w:spacing w:after="0" w:line="240" w:lineRule="auto"/>
        <w:ind w:right="-180"/>
        <w:rPr>
          <w:rFonts w:ascii="Book Antiqua" w:eastAsia="Times New Roman" w:hAnsi="Book Antiqua" w:cs="Times New Roman"/>
          <w:sz w:val="21"/>
          <w:szCs w:val="21"/>
          <w:u w:val="single"/>
        </w:rPr>
      </w:pPr>
      <w:r w:rsidRPr="00FD5324">
        <w:rPr>
          <w:rFonts w:ascii="Book Antiqua" w:eastAsia="Times New Roman" w:hAnsi="Book Antiqua" w:cs="Times New Roman"/>
          <w:bCs/>
          <w:sz w:val="21"/>
          <w:szCs w:val="21"/>
          <w:u w:val="single"/>
        </w:rPr>
        <w:t>Composition of the Committee</w:t>
      </w:r>
    </w:p>
    <w:p w14:paraId="112A9B22" w14:textId="77777777" w:rsidR="00094314" w:rsidRPr="00FD5324" w:rsidRDefault="00094314" w:rsidP="00F839D7">
      <w:pPr>
        <w:spacing w:after="0" w:line="240" w:lineRule="auto"/>
        <w:ind w:right="-180"/>
        <w:rPr>
          <w:rFonts w:ascii="Book Antiqua" w:hAnsi="Book Antiqua" w:cs="Times New Roman"/>
          <w:sz w:val="21"/>
          <w:szCs w:val="21"/>
        </w:rPr>
      </w:pPr>
    </w:p>
    <w:p w14:paraId="2A8E1EBA" w14:textId="2AC14869" w:rsidR="00094314" w:rsidRPr="00FD5324" w:rsidRDefault="0070378A" w:rsidP="00F839D7">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The Committee shall be comprised of three or more directors, each of whom (</w:t>
      </w:r>
      <w:proofErr w:type="spellStart"/>
      <w:r w:rsidRPr="00FD5324">
        <w:rPr>
          <w:rFonts w:ascii="Book Antiqua" w:eastAsia="Times New Roman" w:hAnsi="Book Antiqua" w:cs="Times New Roman"/>
          <w:sz w:val="21"/>
          <w:szCs w:val="21"/>
        </w:rPr>
        <w:t>i</w:t>
      </w:r>
      <w:proofErr w:type="spellEnd"/>
      <w:r w:rsidRPr="00FD5324">
        <w:rPr>
          <w:rFonts w:ascii="Book Antiqua" w:eastAsia="Times New Roman" w:hAnsi="Book Antiqua" w:cs="Times New Roman"/>
          <w:sz w:val="21"/>
          <w:szCs w:val="21"/>
        </w:rPr>
        <w:t>) meets the independence requirements of the New York Stock Exchange (the “</w:t>
      </w:r>
      <w:r w:rsidRPr="00FD5324">
        <w:rPr>
          <w:rFonts w:ascii="Book Antiqua" w:eastAsia="Times New Roman" w:hAnsi="Book Antiqua" w:cs="Times New Roman"/>
          <w:sz w:val="21"/>
          <w:szCs w:val="21"/>
          <w:u w:val="single" w:color="000000"/>
        </w:rPr>
        <w:t>NYSE</w:t>
      </w:r>
      <w:r w:rsidRPr="00FD5324">
        <w:rPr>
          <w:rFonts w:ascii="Book Antiqua" w:eastAsia="Times New Roman" w:hAnsi="Book Antiqua" w:cs="Times New Roman"/>
          <w:sz w:val="21"/>
          <w:szCs w:val="21"/>
        </w:rPr>
        <w:t>”)</w:t>
      </w:r>
      <w:r w:rsidR="005964B0" w:rsidRPr="00FD5324">
        <w:rPr>
          <w:rFonts w:ascii="Book Antiqua" w:eastAsia="Times New Roman" w:hAnsi="Book Antiqua" w:cs="Times New Roman"/>
          <w:sz w:val="21"/>
          <w:szCs w:val="21"/>
        </w:rPr>
        <w:t xml:space="preserve"> and the Company’s corporate governance guidelines</w:t>
      </w:r>
      <w:r w:rsidRPr="00FD5324">
        <w:rPr>
          <w:rFonts w:ascii="Book Antiqua" w:eastAsia="Times New Roman" w:hAnsi="Book Antiqua" w:cs="Times New Roman"/>
          <w:sz w:val="21"/>
          <w:szCs w:val="21"/>
        </w:rPr>
        <w:t xml:space="preserve">, (ii) otherwise satisfies the applicable </w:t>
      </w:r>
      <w:r w:rsidR="00E377BE" w:rsidRPr="00FD5324">
        <w:rPr>
          <w:rFonts w:ascii="Book Antiqua" w:eastAsia="Times New Roman" w:hAnsi="Book Antiqua" w:cs="Times New Roman"/>
          <w:sz w:val="21"/>
          <w:szCs w:val="21"/>
        </w:rPr>
        <w:t xml:space="preserve">independence standards </w:t>
      </w:r>
      <w:r w:rsidRPr="00FD5324">
        <w:rPr>
          <w:rFonts w:ascii="Book Antiqua" w:eastAsia="Times New Roman" w:hAnsi="Book Antiqua" w:cs="Times New Roman"/>
          <w:sz w:val="21"/>
          <w:szCs w:val="21"/>
        </w:rPr>
        <w:t>for compensation committee service imposed by the Securities Exchange Act of 1934, as amended (together with the rules and regulations promulgated thereunder, the “</w:t>
      </w:r>
      <w:r w:rsidRPr="00FD5324">
        <w:rPr>
          <w:rFonts w:ascii="Book Antiqua" w:eastAsia="Times New Roman" w:hAnsi="Book Antiqua" w:cs="Times New Roman"/>
          <w:sz w:val="21"/>
          <w:szCs w:val="21"/>
          <w:u w:val="single"/>
        </w:rPr>
        <w:t>Exchange Act</w:t>
      </w:r>
      <w:r w:rsidRPr="00FD5324">
        <w:rPr>
          <w:rFonts w:ascii="Book Antiqua" w:eastAsia="Times New Roman" w:hAnsi="Book Antiqua" w:cs="Times New Roman"/>
          <w:sz w:val="21"/>
          <w:szCs w:val="21"/>
        </w:rPr>
        <w:t>”), and the NYSE</w:t>
      </w:r>
      <w:r w:rsidR="005964B0" w:rsidRPr="00FD5324">
        <w:rPr>
          <w:rFonts w:ascii="Book Antiqua" w:eastAsia="Times New Roman" w:hAnsi="Book Antiqua" w:cs="Times New Roman"/>
          <w:sz w:val="21"/>
          <w:szCs w:val="21"/>
        </w:rPr>
        <w:t xml:space="preserve"> and</w:t>
      </w:r>
      <w:r w:rsidRPr="00FD5324">
        <w:rPr>
          <w:rFonts w:ascii="Book Antiqua" w:eastAsia="Times New Roman" w:hAnsi="Book Antiqua" w:cs="Times New Roman"/>
          <w:sz w:val="21"/>
          <w:szCs w:val="21"/>
        </w:rPr>
        <w:t xml:space="preserve"> (ii</w:t>
      </w:r>
      <w:r w:rsidR="00E377BE" w:rsidRPr="00FD5324">
        <w:rPr>
          <w:rFonts w:ascii="Book Antiqua" w:eastAsia="Times New Roman" w:hAnsi="Book Antiqua" w:cs="Times New Roman"/>
          <w:sz w:val="21"/>
          <w:szCs w:val="21"/>
        </w:rPr>
        <w:t>i</w:t>
      </w:r>
      <w:r w:rsidRPr="00FD5324">
        <w:rPr>
          <w:rFonts w:ascii="Book Antiqua" w:eastAsia="Times New Roman" w:hAnsi="Book Antiqua" w:cs="Times New Roman"/>
          <w:sz w:val="21"/>
          <w:szCs w:val="21"/>
        </w:rPr>
        <w:t>) meets the requirements for a “Non-Employee Director” contained in Rule 16b-3 under the Exchange Act. Determinations as to whether a particular director satisfies the requirements for membership on the Committee shall be made by the Board.</w:t>
      </w:r>
    </w:p>
    <w:p w14:paraId="293D81F7" w14:textId="77777777" w:rsidR="00094314" w:rsidRPr="00FD5324" w:rsidRDefault="00094314" w:rsidP="00F839D7">
      <w:pPr>
        <w:spacing w:after="0" w:line="240" w:lineRule="auto"/>
        <w:ind w:right="-180"/>
        <w:rPr>
          <w:rFonts w:ascii="Book Antiqua" w:hAnsi="Book Antiqua" w:cs="Times New Roman"/>
          <w:sz w:val="21"/>
          <w:szCs w:val="21"/>
        </w:rPr>
      </w:pPr>
    </w:p>
    <w:p w14:paraId="37AFA3A4" w14:textId="161AEEA6" w:rsidR="00094314" w:rsidRPr="00FD5324" w:rsidRDefault="0070378A" w:rsidP="00F839D7">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Members of the Committee shall be appointed by the Board on the recommendation of the Nominating and Corporate Governance Committee</w:t>
      </w:r>
      <w:r w:rsidR="005964B0" w:rsidRPr="00FD5324">
        <w:rPr>
          <w:rFonts w:ascii="Book Antiqua" w:eastAsia="Times New Roman" w:hAnsi="Book Antiqua" w:cs="Times New Roman"/>
          <w:sz w:val="21"/>
          <w:szCs w:val="21"/>
        </w:rPr>
        <w:t xml:space="preserve"> and </w:t>
      </w:r>
      <w:r w:rsidRPr="00FD5324">
        <w:rPr>
          <w:rFonts w:ascii="Book Antiqua" w:eastAsia="Times New Roman" w:hAnsi="Book Antiqua" w:cs="Times New Roman"/>
          <w:sz w:val="21"/>
          <w:szCs w:val="21"/>
        </w:rPr>
        <w:t xml:space="preserve">shall serve for such terms as the Board may determine, or until their earlier resignation, </w:t>
      </w:r>
      <w:proofErr w:type="gramStart"/>
      <w:r w:rsidRPr="00FD5324">
        <w:rPr>
          <w:rFonts w:ascii="Book Antiqua" w:eastAsia="Times New Roman" w:hAnsi="Book Antiqua" w:cs="Times New Roman"/>
          <w:sz w:val="21"/>
          <w:szCs w:val="21"/>
        </w:rPr>
        <w:t>death</w:t>
      </w:r>
      <w:proofErr w:type="gramEnd"/>
      <w:r w:rsidRPr="00FD5324">
        <w:rPr>
          <w:rFonts w:ascii="Book Antiqua" w:eastAsia="Times New Roman" w:hAnsi="Book Antiqua" w:cs="Times New Roman"/>
          <w:sz w:val="21"/>
          <w:szCs w:val="21"/>
        </w:rPr>
        <w:t xml:space="preserve"> or removal by the Board. </w:t>
      </w:r>
      <w:r w:rsidR="00E377BE" w:rsidRPr="00FD5324">
        <w:rPr>
          <w:rFonts w:ascii="Book Antiqua" w:eastAsia="Times New Roman" w:hAnsi="Book Antiqua" w:cs="Times New Roman"/>
          <w:sz w:val="21"/>
          <w:szCs w:val="21"/>
        </w:rPr>
        <w:t>M</w:t>
      </w:r>
      <w:r w:rsidRPr="00FD5324">
        <w:rPr>
          <w:rFonts w:ascii="Book Antiqua" w:eastAsia="Times New Roman" w:hAnsi="Book Antiqua" w:cs="Times New Roman"/>
          <w:sz w:val="21"/>
          <w:szCs w:val="21"/>
        </w:rPr>
        <w:t>embers of the Committee may be removed by the Board in its complete discretion.</w:t>
      </w:r>
    </w:p>
    <w:p w14:paraId="6825AC48" w14:textId="77777777" w:rsidR="00094314" w:rsidRPr="00FD5324" w:rsidRDefault="00094314" w:rsidP="00F839D7">
      <w:pPr>
        <w:spacing w:after="0" w:line="240" w:lineRule="auto"/>
        <w:ind w:right="-180"/>
        <w:rPr>
          <w:rFonts w:ascii="Book Antiqua" w:hAnsi="Book Antiqua" w:cs="Times New Roman"/>
          <w:sz w:val="21"/>
          <w:szCs w:val="21"/>
        </w:rPr>
      </w:pPr>
    </w:p>
    <w:p w14:paraId="084F40F8" w14:textId="77777777" w:rsidR="00094314" w:rsidRPr="00FD5324" w:rsidRDefault="0070378A" w:rsidP="00F839D7">
      <w:pPr>
        <w:spacing w:after="0" w:line="240" w:lineRule="auto"/>
        <w:ind w:right="-180"/>
        <w:rPr>
          <w:rFonts w:ascii="Book Antiqua" w:eastAsia="Times New Roman" w:hAnsi="Book Antiqua" w:cs="Times New Roman"/>
          <w:sz w:val="21"/>
          <w:szCs w:val="21"/>
          <w:u w:val="single"/>
        </w:rPr>
      </w:pPr>
      <w:r w:rsidRPr="00FD5324">
        <w:rPr>
          <w:rFonts w:ascii="Book Antiqua" w:eastAsia="Times New Roman" w:hAnsi="Book Antiqua" w:cs="Times New Roman"/>
          <w:bCs/>
          <w:sz w:val="21"/>
          <w:szCs w:val="21"/>
          <w:u w:val="single"/>
        </w:rPr>
        <w:t>Meetings</w:t>
      </w:r>
    </w:p>
    <w:p w14:paraId="637C1267" w14:textId="77777777" w:rsidR="00094314" w:rsidRPr="00FD5324" w:rsidRDefault="00094314" w:rsidP="00F839D7">
      <w:pPr>
        <w:spacing w:after="0" w:line="240" w:lineRule="auto"/>
        <w:ind w:right="-180"/>
        <w:rPr>
          <w:rFonts w:ascii="Book Antiqua" w:hAnsi="Book Antiqua" w:cs="Times New Roman"/>
          <w:sz w:val="21"/>
          <w:szCs w:val="21"/>
        </w:rPr>
      </w:pPr>
    </w:p>
    <w:p w14:paraId="29DAEEFB" w14:textId="3C883B4A" w:rsidR="00094314" w:rsidRPr="00FD5324" w:rsidRDefault="0070378A" w:rsidP="00F839D7">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 xml:space="preserve">The Committee shall meet with such frequency and at such intervals as it shall determine is necessary to carry out its duties and responsibilities, but in any case, not less than </w:t>
      </w:r>
      <w:r w:rsidR="005964B0" w:rsidRPr="00FD5324">
        <w:rPr>
          <w:rFonts w:ascii="Book Antiqua" w:eastAsia="Times New Roman" w:hAnsi="Book Antiqua" w:cs="Times New Roman"/>
          <w:sz w:val="21"/>
          <w:szCs w:val="21"/>
        </w:rPr>
        <w:t>twice</w:t>
      </w:r>
      <w:r w:rsidR="00902E68" w:rsidRPr="00FD5324">
        <w:rPr>
          <w:rFonts w:ascii="Book Antiqua" w:eastAsia="Times New Roman" w:hAnsi="Book Antiqua" w:cs="Times New Roman"/>
          <w:sz w:val="21"/>
          <w:szCs w:val="21"/>
        </w:rPr>
        <w:t xml:space="preserve"> </w:t>
      </w:r>
      <w:r w:rsidRPr="00FD5324">
        <w:rPr>
          <w:rFonts w:ascii="Book Antiqua" w:eastAsia="Times New Roman" w:hAnsi="Book Antiqua" w:cs="Times New Roman"/>
          <w:sz w:val="21"/>
          <w:szCs w:val="21"/>
        </w:rPr>
        <w:t xml:space="preserve">a year. The Board shall designate one member of the Committee to serve as its chairperson. </w:t>
      </w:r>
      <w:r w:rsidR="0065233D" w:rsidRPr="00FD5324">
        <w:rPr>
          <w:rFonts w:ascii="Book Antiqua" w:eastAsia="Times New Roman" w:hAnsi="Book Antiqua" w:cs="Times New Roman"/>
          <w:sz w:val="21"/>
          <w:szCs w:val="21"/>
        </w:rPr>
        <w:t xml:space="preserve">The chairperson will preside, when present, at all meetings of the Committee. </w:t>
      </w:r>
      <w:r w:rsidRPr="00FD5324">
        <w:rPr>
          <w:rFonts w:ascii="Book Antiqua" w:eastAsia="Times New Roman" w:hAnsi="Book Antiqua" w:cs="Times New Roman"/>
          <w:sz w:val="21"/>
          <w:szCs w:val="21"/>
        </w:rPr>
        <w:t xml:space="preserve">The Committee will meet at such times as determined by its chairperson or as requested by any two of its members. Notice of all </w:t>
      </w:r>
      <w:r w:rsidR="005964B0" w:rsidRPr="00FD5324">
        <w:rPr>
          <w:rFonts w:ascii="Book Antiqua" w:eastAsia="Times New Roman" w:hAnsi="Book Antiqua" w:cs="Times New Roman"/>
          <w:sz w:val="21"/>
          <w:szCs w:val="21"/>
        </w:rPr>
        <w:t xml:space="preserve">Committee </w:t>
      </w:r>
      <w:r w:rsidRPr="00FD5324">
        <w:rPr>
          <w:rFonts w:ascii="Book Antiqua" w:eastAsia="Times New Roman" w:hAnsi="Book Antiqua" w:cs="Times New Roman"/>
          <w:sz w:val="21"/>
          <w:szCs w:val="21"/>
        </w:rPr>
        <w:t>meetings shall be given, and waiver thereof determined, pursuant to</w:t>
      </w:r>
      <w:r w:rsidR="00F14041" w:rsidRPr="00FD5324">
        <w:rPr>
          <w:rFonts w:ascii="Book Antiqua" w:eastAsia="Times New Roman" w:hAnsi="Book Antiqua" w:cs="Times New Roman"/>
          <w:sz w:val="21"/>
          <w:szCs w:val="21"/>
        </w:rPr>
        <w:t xml:space="preserve"> and in accordance with</w:t>
      </w:r>
      <w:r w:rsidRPr="00FD5324">
        <w:rPr>
          <w:rFonts w:ascii="Book Antiqua" w:eastAsia="Times New Roman" w:hAnsi="Book Antiqua" w:cs="Times New Roman"/>
          <w:sz w:val="21"/>
          <w:szCs w:val="21"/>
        </w:rPr>
        <w:t xml:space="preserve"> the Company’s bylaws. The Committee may meet by telephone</w:t>
      </w:r>
      <w:r w:rsidR="00465043" w:rsidRPr="00FD5324">
        <w:rPr>
          <w:rFonts w:ascii="Book Antiqua" w:eastAsia="Times New Roman" w:hAnsi="Book Antiqua" w:cs="Times New Roman"/>
          <w:sz w:val="21"/>
          <w:szCs w:val="21"/>
        </w:rPr>
        <w:t>,</w:t>
      </w:r>
      <w:r w:rsidRPr="00FD5324">
        <w:rPr>
          <w:rFonts w:ascii="Book Antiqua" w:eastAsia="Times New Roman" w:hAnsi="Book Antiqua" w:cs="Times New Roman"/>
          <w:sz w:val="21"/>
          <w:szCs w:val="21"/>
        </w:rPr>
        <w:t xml:space="preserve"> video conference </w:t>
      </w:r>
      <w:r w:rsidR="00465043" w:rsidRPr="00FD5324">
        <w:rPr>
          <w:rFonts w:ascii="Book Antiqua" w:eastAsia="Times New Roman" w:hAnsi="Book Antiqua" w:cs="Times New Roman"/>
          <w:sz w:val="21"/>
          <w:szCs w:val="21"/>
        </w:rPr>
        <w:t xml:space="preserve">or similar means of remote communication </w:t>
      </w:r>
      <w:r w:rsidRPr="00FD5324">
        <w:rPr>
          <w:rFonts w:ascii="Book Antiqua" w:eastAsia="Times New Roman" w:hAnsi="Book Antiqua" w:cs="Times New Roman"/>
          <w:sz w:val="21"/>
          <w:szCs w:val="21"/>
        </w:rPr>
        <w:t xml:space="preserve">and may take action by </w:t>
      </w:r>
      <w:r w:rsidR="00465043" w:rsidRPr="00FD5324">
        <w:rPr>
          <w:rFonts w:ascii="Book Antiqua" w:eastAsia="Times New Roman" w:hAnsi="Book Antiqua" w:cs="Times New Roman"/>
          <w:sz w:val="21"/>
          <w:szCs w:val="21"/>
        </w:rPr>
        <w:t xml:space="preserve">unanimous </w:t>
      </w:r>
      <w:r w:rsidRPr="00FD5324">
        <w:rPr>
          <w:rFonts w:ascii="Book Antiqua" w:eastAsia="Times New Roman" w:hAnsi="Book Antiqua" w:cs="Times New Roman"/>
          <w:sz w:val="21"/>
          <w:szCs w:val="21"/>
        </w:rPr>
        <w:t>written consent</w:t>
      </w:r>
      <w:r w:rsidR="00D175E5" w:rsidRPr="00FD5324">
        <w:rPr>
          <w:rFonts w:ascii="Book Antiqua" w:eastAsia="Times New Roman" w:hAnsi="Book Antiqua" w:cs="Times New Roman"/>
          <w:sz w:val="21"/>
          <w:szCs w:val="21"/>
        </w:rPr>
        <w:t xml:space="preserve"> of all Committee members</w:t>
      </w:r>
      <w:r w:rsidRPr="00FD5324">
        <w:rPr>
          <w:rFonts w:ascii="Book Antiqua" w:eastAsia="Times New Roman" w:hAnsi="Book Antiqua" w:cs="Times New Roman"/>
          <w:sz w:val="21"/>
          <w:szCs w:val="21"/>
        </w:rPr>
        <w:t>.</w:t>
      </w:r>
    </w:p>
    <w:p w14:paraId="4F0EECCC" w14:textId="77777777" w:rsidR="00094314" w:rsidRPr="00FD5324" w:rsidRDefault="00094314" w:rsidP="00F839D7">
      <w:pPr>
        <w:spacing w:after="0" w:line="240" w:lineRule="auto"/>
        <w:ind w:right="-180"/>
        <w:jc w:val="both"/>
        <w:rPr>
          <w:rFonts w:ascii="Book Antiqua" w:hAnsi="Book Antiqua" w:cs="Times New Roman"/>
          <w:sz w:val="21"/>
          <w:szCs w:val="21"/>
        </w:rPr>
      </w:pPr>
    </w:p>
    <w:p w14:paraId="0A9F313E" w14:textId="5157584E" w:rsidR="00094314" w:rsidRPr="00FD5324" w:rsidRDefault="0070378A" w:rsidP="00F839D7">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 xml:space="preserve">Each member of the </w:t>
      </w:r>
      <w:r w:rsidR="00A9797F" w:rsidRPr="00FD5324">
        <w:rPr>
          <w:rFonts w:ascii="Book Antiqua" w:eastAsia="Times New Roman" w:hAnsi="Book Antiqua" w:cs="Times New Roman"/>
          <w:sz w:val="21"/>
          <w:szCs w:val="21"/>
        </w:rPr>
        <w:t xml:space="preserve">Committee shall have </w:t>
      </w:r>
      <w:r w:rsidR="005964B0" w:rsidRPr="00FD5324">
        <w:rPr>
          <w:rFonts w:ascii="Book Antiqua" w:eastAsia="Times New Roman" w:hAnsi="Book Antiqua" w:cs="Times New Roman"/>
          <w:sz w:val="21"/>
          <w:szCs w:val="21"/>
        </w:rPr>
        <w:t xml:space="preserve">an equal </w:t>
      </w:r>
      <w:r w:rsidR="00A9797F" w:rsidRPr="00FD5324">
        <w:rPr>
          <w:rFonts w:ascii="Book Antiqua" w:eastAsia="Times New Roman" w:hAnsi="Book Antiqua" w:cs="Times New Roman"/>
          <w:sz w:val="21"/>
          <w:szCs w:val="21"/>
        </w:rPr>
        <w:t xml:space="preserve">vote. </w:t>
      </w:r>
      <w:r w:rsidRPr="00FD5324">
        <w:rPr>
          <w:rFonts w:ascii="Book Antiqua" w:eastAsia="Times New Roman" w:hAnsi="Book Antiqua" w:cs="Times New Roman"/>
          <w:sz w:val="21"/>
          <w:szCs w:val="21"/>
        </w:rPr>
        <w:t>One-third of the members</w:t>
      </w:r>
      <w:r w:rsidR="0065233D" w:rsidRPr="00FD5324">
        <w:rPr>
          <w:rFonts w:ascii="Book Antiqua" w:eastAsia="Times New Roman" w:hAnsi="Book Antiqua" w:cs="Times New Roman"/>
          <w:sz w:val="21"/>
          <w:szCs w:val="21"/>
        </w:rPr>
        <w:t xml:space="preserve"> of the Committee</w:t>
      </w:r>
      <w:r w:rsidRPr="00FD5324">
        <w:rPr>
          <w:rFonts w:ascii="Book Antiqua" w:eastAsia="Times New Roman" w:hAnsi="Book Antiqua" w:cs="Times New Roman"/>
          <w:sz w:val="21"/>
          <w:szCs w:val="21"/>
        </w:rPr>
        <w:t>, but not less than two members</w:t>
      </w:r>
      <w:r w:rsidR="0065233D" w:rsidRPr="00FD5324">
        <w:rPr>
          <w:rFonts w:ascii="Book Antiqua" w:eastAsia="Times New Roman" w:hAnsi="Book Antiqua" w:cs="Times New Roman"/>
          <w:sz w:val="21"/>
          <w:szCs w:val="21"/>
        </w:rPr>
        <w:t xml:space="preserve"> of the Committee</w:t>
      </w:r>
      <w:r w:rsidRPr="00FD5324">
        <w:rPr>
          <w:rFonts w:ascii="Book Antiqua" w:eastAsia="Times New Roman" w:hAnsi="Book Antiqua" w:cs="Times New Roman"/>
          <w:sz w:val="21"/>
          <w:szCs w:val="21"/>
        </w:rPr>
        <w:t>, shall constitute a quorum. The Committee shall be authorized to take any permitted action only by the affirmative vote of a majority of the Committee members present at any meeting at which a quorum is present, or by the unanimous written consent of all of the Committee members.</w:t>
      </w:r>
    </w:p>
    <w:p w14:paraId="1830D6EA" w14:textId="77777777" w:rsidR="00094314" w:rsidRPr="00FD5324" w:rsidRDefault="00094314" w:rsidP="00F839D7">
      <w:pPr>
        <w:spacing w:after="0" w:line="240" w:lineRule="auto"/>
        <w:ind w:right="-180"/>
        <w:rPr>
          <w:rFonts w:ascii="Book Antiqua" w:hAnsi="Book Antiqua" w:cs="Times New Roman"/>
          <w:sz w:val="21"/>
          <w:szCs w:val="21"/>
        </w:rPr>
      </w:pPr>
    </w:p>
    <w:p w14:paraId="24B19C1C" w14:textId="246F62FA" w:rsidR="00094314" w:rsidRPr="00FD5324" w:rsidRDefault="0070378A" w:rsidP="00F839D7">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 xml:space="preserve">The Committee shall maintain copies of minutes of each meeting of the Committee, and each </w:t>
      </w:r>
      <w:r w:rsidR="005964B0" w:rsidRPr="00FD5324">
        <w:rPr>
          <w:rFonts w:ascii="Book Antiqua" w:eastAsia="Times New Roman" w:hAnsi="Book Antiqua" w:cs="Times New Roman"/>
          <w:sz w:val="21"/>
          <w:szCs w:val="21"/>
        </w:rPr>
        <w:t xml:space="preserve">unanimous </w:t>
      </w:r>
      <w:r w:rsidRPr="00FD5324">
        <w:rPr>
          <w:rFonts w:ascii="Book Antiqua" w:eastAsia="Times New Roman" w:hAnsi="Book Antiqua" w:cs="Times New Roman"/>
          <w:sz w:val="21"/>
          <w:szCs w:val="21"/>
        </w:rPr>
        <w:t>written consent to action taken without a meeting, reflecting the actions so authorized or taken by the Committee. A copy of the minutes of each meeting and all consents shall be placed in the Company’s minute book.</w:t>
      </w:r>
    </w:p>
    <w:p w14:paraId="4CBEB47D" w14:textId="77777777" w:rsidR="00094314" w:rsidRPr="00FD5324" w:rsidRDefault="00094314" w:rsidP="00F839D7">
      <w:pPr>
        <w:spacing w:after="0" w:line="240" w:lineRule="auto"/>
        <w:ind w:right="-180"/>
        <w:rPr>
          <w:rFonts w:ascii="Book Antiqua" w:hAnsi="Book Antiqua" w:cs="Times New Roman"/>
          <w:sz w:val="21"/>
          <w:szCs w:val="21"/>
        </w:rPr>
      </w:pPr>
    </w:p>
    <w:p w14:paraId="4B1F02D7" w14:textId="57368175" w:rsidR="00094314" w:rsidRPr="00FD5324" w:rsidRDefault="0070378A" w:rsidP="00F839D7">
      <w:pPr>
        <w:spacing w:after="0" w:line="240" w:lineRule="auto"/>
        <w:ind w:right="-180"/>
        <w:jc w:val="both"/>
        <w:rPr>
          <w:rFonts w:ascii="Book Antiqua" w:eastAsia="Times New Roman" w:hAnsi="Book Antiqua" w:cs="Times New Roman"/>
          <w:sz w:val="21"/>
          <w:szCs w:val="21"/>
          <w:u w:val="single"/>
        </w:rPr>
      </w:pPr>
      <w:r w:rsidRPr="00FD5324">
        <w:rPr>
          <w:rFonts w:ascii="Book Antiqua" w:eastAsia="Times New Roman" w:hAnsi="Book Antiqua" w:cs="Times New Roman"/>
          <w:bCs/>
          <w:sz w:val="21"/>
          <w:szCs w:val="21"/>
          <w:u w:val="single"/>
        </w:rPr>
        <w:t>Delegation</w:t>
      </w:r>
    </w:p>
    <w:p w14:paraId="7FBCCD5D" w14:textId="77777777" w:rsidR="00094314" w:rsidRPr="00FD5324" w:rsidRDefault="00094314" w:rsidP="00F839D7">
      <w:pPr>
        <w:spacing w:after="0" w:line="240" w:lineRule="auto"/>
        <w:ind w:right="-180"/>
        <w:rPr>
          <w:rFonts w:ascii="Book Antiqua" w:hAnsi="Book Antiqua" w:cs="Times New Roman"/>
          <w:sz w:val="21"/>
          <w:szCs w:val="21"/>
        </w:rPr>
      </w:pPr>
    </w:p>
    <w:p w14:paraId="091F7222" w14:textId="77777777" w:rsidR="00094314" w:rsidRPr="00FD5324" w:rsidRDefault="0070378A" w:rsidP="00F839D7">
      <w:pPr>
        <w:spacing w:after="0" w:line="240" w:lineRule="auto"/>
        <w:ind w:right="-180"/>
        <w:rPr>
          <w:rFonts w:ascii="Book Antiqua" w:eastAsia="Times New Roman" w:hAnsi="Book Antiqua" w:cs="Times New Roman"/>
          <w:sz w:val="21"/>
          <w:szCs w:val="21"/>
        </w:rPr>
      </w:pPr>
      <w:r w:rsidRPr="00FD5324">
        <w:rPr>
          <w:rFonts w:ascii="Book Antiqua" w:eastAsia="Times New Roman" w:hAnsi="Book Antiqua" w:cs="Times New Roman"/>
          <w:sz w:val="21"/>
          <w:szCs w:val="21"/>
        </w:rPr>
        <w:t>The Committee may form, and delegate authority to, subcommittees consisting of one or more members when it deems appropriate and to the extent permitted by law.</w:t>
      </w:r>
    </w:p>
    <w:p w14:paraId="166A33E2" w14:textId="77777777" w:rsidR="00094314" w:rsidRPr="00FD5324" w:rsidRDefault="00094314" w:rsidP="00F839D7">
      <w:pPr>
        <w:spacing w:after="0" w:line="240" w:lineRule="auto"/>
        <w:ind w:right="-180"/>
        <w:rPr>
          <w:rFonts w:ascii="Book Antiqua" w:hAnsi="Book Antiqua" w:cs="Times New Roman"/>
          <w:sz w:val="21"/>
          <w:szCs w:val="21"/>
        </w:rPr>
      </w:pPr>
    </w:p>
    <w:p w14:paraId="03551B0E" w14:textId="77777777" w:rsidR="00094314" w:rsidRPr="00FD5324" w:rsidRDefault="0070378A" w:rsidP="00F839D7">
      <w:pPr>
        <w:spacing w:after="0" w:line="240" w:lineRule="auto"/>
        <w:ind w:right="-180"/>
        <w:rPr>
          <w:rFonts w:ascii="Book Antiqua" w:eastAsia="Times New Roman" w:hAnsi="Book Antiqua" w:cs="Times New Roman"/>
          <w:sz w:val="21"/>
          <w:szCs w:val="21"/>
          <w:u w:val="single"/>
        </w:rPr>
      </w:pPr>
      <w:r w:rsidRPr="00FD5324">
        <w:rPr>
          <w:rFonts w:ascii="Book Antiqua" w:eastAsia="Times New Roman" w:hAnsi="Book Antiqua" w:cs="Times New Roman"/>
          <w:bCs/>
          <w:sz w:val="21"/>
          <w:szCs w:val="21"/>
          <w:u w:val="single"/>
        </w:rPr>
        <w:t>External Advis</w:t>
      </w:r>
      <w:r w:rsidR="009A213D" w:rsidRPr="00FD5324">
        <w:rPr>
          <w:rFonts w:ascii="Book Antiqua" w:eastAsia="Times New Roman" w:hAnsi="Book Antiqua" w:cs="Times New Roman"/>
          <w:bCs/>
          <w:sz w:val="21"/>
          <w:szCs w:val="21"/>
          <w:u w:val="single"/>
        </w:rPr>
        <w:t>e</w:t>
      </w:r>
      <w:r w:rsidRPr="00FD5324">
        <w:rPr>
          <w:rFonts w:ascii="Book Antiqua" w:eastAsia="Times New Roman" w:hAnsi="Book Antiqua" w:cs="Times New Roman"/>
          <w:bCs/>
          <w:sz w:val="21"/>
          <w:szCs w:val="21"/>
          <w:u w:val="single"/>
        </w:rPr>
        <w:t>rs</w:t>
      </w:r>
    </w:p>
    <w:p w14:paraId="72FB932B" w14:textId="77777777" w:rsidR="00094314" w:rsidRPr="00FD5324" w:rsidRDefault="00094314" w:rsidP="00F839D7">
      <w:pPr>
        <w:spacing w:after="0" w:line="240" w:lineRule="auto"/>
        <w:ind w:right="-180"/>
        <w:rPr>
          <w:rFonts w:ascii="Book Antiqua" w:hAnsi="Book Antiqua" w:cs="Times New Roman"/>
          <w:sz w:val="21"/>
          <w:szCs w:val="21"/>
        </w:rPr>
      </w:pPr>
    </w:p>
    <w:p w14:paraId="3849C379" w14:textId="17E656F4" w:rsidR="00094314" w:rsidRPr="00FD5324" w:rsidRDefault="0070378A" w:rsidP="00BD51C3">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The Committee shall have the authority, in its sole discretion, to retain or obtain the advice of a compensation consultant, legal counsel or other adviser (a “Committee Adviser”) as it deems appropriate to assist with the execution of its duties and responsibilities as set forth in this Charte</w:t>
      </w:r>
      <w:r w:rsidR="00A9797F" w:rsidRPr="00FD5324">
        <w:rPr>
          <w:rFonts w:ascii="Book Antiqua" w:eastAsia="Times New Roman" w:hAnsi="Book Antiqua" w:cs="Times New Roman"/>
          <w:sz w:val="21"/>
          <w:szCs w:val="21"/>
        </w:rPr>
        <w:t xml:space="preserve">r. </w:t>
      </w:r>
      <w:r w:rsidRPr="00FD5324">
        <w:rPr>
          <w:rFonts w:ascii="Book Antiqua" w:eastAsia="Times New Roman" w:hAnsi="Book Antiqua" w:cs="Times New Roman"/>
          <w:sz w:val="21"/>
          <w:szCs w:val="21"/>
        </w:rPr>
        <w:t>The Committee shall be directly responsible for appointing, compensating and overseeing the work of any Committee Adviser retained by the Committee and shall receive appropriate funding from the Company, as determined by the Committee, for payment of reasonable compensation to such Committee Adviser</w:t>
      </w:r>
      <w:r w:rsidR="005964B0" w:rsidRPr="00FD5324">
        <w:rPr>
          <w:rFonts w:ascii="Book Antiqua" w:eastAsia="Times New Roman" w:hAnsi="Book Antiqua" w:cs="Times New Roman"/>
          <w:sz w:val="21"/>
          <w:szCs w:val="21"/>
        </w:rPr>
        <w:t xml:space="preserve"> as well as for any costs or expenses related to the ordinary administrative expenses of the Committee that are necessary or appropriate for carrying out its duties</w:t>
      </w:r>
      <w:r w:rsidRPr="00FD5324">
        <w:rPr>
          <w:rFonts w:ascii="Book Antiqua" w:eastAsia="Times New Roman" w:hAnsi="Book Antiqua" w:cs="Times New Roman"/>
          <w:sz w:val="21"/>
          <w:szCs w:val="21"/>
        </w:rPr>
        <w:t xml:space="preserve">. To the extent required by NYSE rules, the Committee shall assess the independence of any Committee Adviser taking into account the factors specified by applicable NYSE </w:t>
      </w:r>
      <w:r w:rsidR="005964B0" w:rsidRPr="00FD5324">
        <w:rPr>
          <w:rFonts w:ascii="Book Antiqua" w:eastAsia="Times New Roman" w:hAnsi="Book Antiqua" w:cs="Times New Roman"/>
          <w:sz w:val="21"/>
          <w:szCs w:val="21"/>
        </w:rPr>
        <w:t>rules</w:t>
      </w:r>
      <w:r w:rsidRPr="00FD5324">
        <w:rPr>
          <w:rFonts w:ascii="Book Antiqua" w:eastAsia="Times New Roman" w:hAnsi="Book Antiqua" w:cs="Times New Roman"/>
          <w:sz w:val="21"/>
          <w:szCs w:val="21"/>
        </w:rPr>
        <w:t>. The Committee shall also have authority to obtain advice and assistance from any officer or employee of the Company and shall have full, unrestricted access to Company</w:t>
      </w:r>
      <w:r w:rsidR="005964B0" w:rsidRPr="00FD5324">
        <w:rPr>
          <w:rFonts w:ascii="Book Antiqua" w:eastAsia="Times New Roman" w:hAnsi="Book Antiqua" w:cs="Times New Roman"/>
          <w:sz w:val="21"/>
          <w:szCs w:val="21"/>
        </w:rPr>
        <w:t>’s books,</w:t>
      </w:r>
      <w:r w:rsidRPr="00FD5324">
        <w:rPr>
          <w:rFonts w:ascii="Book Antiqua" w:eastAsia="Times New Roman" w:hAnsi="Book Antiqua" w:cs="Times New Roman"/>
          <w:sz w:val="21"/>
          <w:szCs w:val="21"/>
        </w:rPr>
        <w:t xml:space="preserve"> records</w:t>
      </w:r>
      <w:r w:rsidR="005964B0" w:rsidRPr="00FD5324">
        <w:rPr>
          <w:rFonts w:ascii="Book Antiqua" w:eastAsia="Times New Roman" w:hAnsi="Book Antiqua" w:cs="Times New Roman"/>
          <w:sz w:val="21"/>
          <w:szCs w:val="21"/>
        </w:rPr>
        <w:t xml:space="preserve"> and facilities</w:t>
      </w:r>
      <w:r w:rsidRPr="00FD5324">
        <w:rPr>
          <w:rFonts w:ascii="Book Antiqua" w:eastAsia="Times New Roman" w:hAnsi="Book Antiqua" w:cs="Times New Roman"/>
          <w:sz w:val="21"/>
          <w:szCs w:val="21"/>
        </w:rPr>
        <w:t>.</w:t>
      </w:r>
    </w:p>
    <w:p w14:paraId="00DCC444" w14:textId="77777777" w:rsidR="00094314" w:rsidRPr="00FD5324" w:rsidRDefault="00094314" w:rsidP="00F839D7">
      <w:pPr>
        <w:spacing w:after="0" w:line="240" w:lineRule="auto"/>
        <w:ind w:right="-180"/>
        <w:rPr>
          <w:rFonts w:ascii="Book Antiqua" w:hAnsi="Book Antiqua" w:cs="Times New Roman"/>
          <w:sz w:val="21"/>
          <w:szCs w:val="21"/>
        </w:rPr>
      </w:pPr>
    </w:p>
    <w:p w14:paraId="306206DF" w14:textId="77777777" w:rsidR="00094314" w:rsidRPr="00FD5324" w:rsidRDefault="0070378A" w:rsidP="00F839D7">
      <w:pPr>
        <w:spacing w:after="0" w:line="240" w:lineRule="auto"/>
        <w:ind w:right="-180"/>
        <w:rPr>
          <w:rFonts w:ascii="Book Antiqua" w:eastAsia="Times New Roman" w:hAnsi="Book Antiqua" w:cs="Times New Roman"/>
          <w:sz w:val="21"/>
          <w:szCs w:val="21"/>
          <w:u w:val="single"/>
        </w:rPr>
      </w:pPr>
      <w:r w:rsidRPr="00FD5324">
        <w:rPr>
          <w:rFonts w:ascii="Book Antiqua" w:eastAsia="Times New Roman" w:hAnsi="Book Antiqua" w:cs="Times New Roman"/>
          <w:bCs/>
          <w:sz w:val="21"/>
          <w:szCs w:val="21"/>
          <w:u w:val="single"/>
        </w:rPr>
        <w:t>Duties and Responsibilities</w:t>
      </w:r>
    </w:p>
    <w:p w14:paraId="3BAE6C42" w14:textId="77777777" w:rsidR="00094314" w:rsidRPr="00FD5324" w:rsidRDefault="00094314" w:rsidP="00F839D7">
      <w:pPr>
        <w:spacing w:after="0" w:line="240" w:lineRule="auto"/>
        <w:ind w:right="-180"/>
        <w:rPr>
          <w:rFonts w:ascii="Book Antiqua" w:hAnsi="Book Antiqua" w:cs="Times New Roman"/>
          <w:sz w:val="21"/>
          <w:szCs w:val="21"/>
        </w:rPr>
      </w:pPr>
    </w:p>
    <w:p w14:paraId="2D7BFDC0" w14:textId="77777777" w:rsidR="00094314" w:rsidRPr="00FD5324" w:rsidRDefault="00F14041" w:rsidP="00F839D7">
      <w:pPr>
        <w:spacing w:after="0" w:line="240" w:lineRule="auto"/>
        <w:ind w:right="-180"/>
        <w:rPr>
          <w:rFonts w:ascii="Book Antiqua" w:eastAsia="Times New Roman" w:hAnsi="Book Antiqua" w:cs="Times New Roman"/>
          <w:sz w:val="21"/>
          <w:szCs w:val="21"/>
        </w:rPr>
      </w:pPr>
      <w:r w:rsidRPr="00FD5324">
        <w:rPr>
          <w:rFonts w:ascii="Book Antiqua" w:eastAsia="Times New Roman" w:hAnsi="Book Antiqua" w:cs="Times New Roman"/>
          <w:sz w:val="21"/>
          <w:szCs w:val="21"/>
        </w:rPr>
        <w:t>In furtherance of its purpose, t</w:t>
      </w:r>
      <w:r w:rsidR="0070378A" w:rsidRPr="00FD5324">
        <w:rPr>
          <w:rFonts w:ascii="Book Antiqua" w:eastAsia="Times New Roman" w:hAnsi="Book Antiqua" w:cs="Times New Roman"/>
          <w:sz w:val="21"/>
          <w:szCs w:val="21"/>
        </w:rPr>
        <w:t>he Committee shall:</w:t>
      </w:r>
    </w:p>
    <w:p w14:paraId="08C281C6" w14:textId="77777777" w:rsidR="00094314" w:rsidRPr="00FD5324" w:rsidRDefault="00094314" w:rsidP="00F839D7">
      <w:pPr>
        <w:spacing w:after="0" w:line="240" w:lineRule="auto"/>
        <w:ind w:right="-180"/>
        <w:rPr>
          <w:rFonts w:ascii="Book Antiqua" w:hAnsi="Book Antiqua" w:cs="Times New Roman"/>
          <w:sz w:val="21"/>
          <w:szCs w:val="21"/>
        </w:rPr>
      </w:pPr>
    </w:p>
    <w:p w14:paraId="28F9464C" w14:textId="4B999A34" w:rsidR="00094314"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Annually re</w:t>
      </w:r>
      <w:r w:rsidR="00A9797F" w:rsidRPr="00FD5324">
        <w:rPr>
          <w:rFonts w:ascii="Book Antiqua" w:eastAsia="Times New Roman" w:hAnsi="Book Antiqua" w:cs="Times New Roman"/>
          <w:sz w:val="21"/>
          <w:szCs w:val="21"/>
        </w:rPr>
        <w:t xml:space="preserve">view </w:t>
      </w:r>
      <w:r w:rsidRPr="00FD5324">
        <w:rPr>
          <w:rFonts w:ascii="Book Antiqua" w:eastAsia="Times New Roman" w:hAnsi="Book Antiqua" w:cs="Times New Roman"/>
          <w:sz w:val="21"/>
          <w:szCs w:val="21"/>
        </w:rPr>
        <w:t>a</w:t>
      </w:r>
      <w:r w:rsidR="00A9797F" w:rsidRPr="00FD5324">
        <w:rPr>
          <w:rFonts w:ascii="Book Antiqua" w:eastAsia="Times New Roman" w:hAnsi="Book Antiqua" w:cs="Times New Roman"/>
          <w:sz w:val="21"/>
          <w:szCs w:val="21"/>
        </w:rPr>
        <w:t>nd</w:t>
      </w:r>
      <w:r w:rsidRPr="00FD5324">
        <w:rPr>
          <w:rFonts w:ascii="Book Antiqua" w:eastAsia="Times New Roman" w:hAnsi="Book Antiqua" w:cs="Times New Roman"/>
          <w:sz w:val="21"/>
          <w:szCs w:val="21"/>
        </w:rPr>
        <w:t xml:space="preserve"> approv</w:t>
      </w:r>
      <w:r w:rsidR="00A9797F" w:rsidRPr="00FD5324">
        <w:rPr>
          <w:rFonts w:ascii="Book Antiqua" w:eastAsia="Times New Roman" w:hAnsi="Book Antiqua" w:cs="Times New Roman"/>
          <w:sz w:val="21"/>
          <w:szCs w:val="21"/>
        </w:rPr>
        <w:t>e</w:t>
      </w:r>
      <w:r w:rsidRPr="00FD5324">
        <w:rPr>
          <w:rFonts w:ascii="Book Antiqua" w:eastAsia="Times New Roman" w:hAnsi="Book Antiqua" w:cs="Times New Roman"/>
          <w:sz w:val="21"/>
          <w:szCs w:val="21"/>
        </w:rPr>
        <w:t xml:space="preserve"> corpora</w:t>
      </w:r>
      <w:r w:rsidR="00A9797F" w:rsidRPr="00FD5324">
        <w:rPr>
          <w:rFonts w:ascii="Book Antiqua" w:eastAsia="Times New Roman" w:hAnsi="Book Antiqua" w:cs="Times New Roman"/>
          <w:sz w:val="21"/>
          <w:szCs w:val="21"/>
        </w:rPr>
        <w:t xml:space="preserve">te </w:t>
      </w:r>
      <w:r w:rsidRPr="00FD5324">
        <w:rPr>
          <w:rFonts w:ascii="Book Antiqua" w:eastAsia="Times New Roman" w:hAnsi="Book Antiqua" w:cs="Times New Roman"/>
          <w:sz w:val="21"/>
          <w:szCs w:val="21"/>
        </w:rPr>
        <w:t>goal</w:t>
      </w:r>
      <w:r w:rsidR="00A9797F" w:rsidRPr="00FD5324">
        <w:rPr>
          <w:rFonts w:ascii="Book Antiqua" w:eastAsia="Times New Roman" w:hAnsi="Book Antiqua" w:cs="Times New Roman"/>
          <w:sz w:val="21"/>
          <w:szCs w:val="21"/>
        </w:rPr>
        <w:t xml:space="preserve">s </w:t>
      </w:r>
      <w:r w:rsidRPr="00FD5324">
        <w:rPr>
          <w:rFonts w:ascii="Book Antiqua" w:eastAsia="Times New Roman" w:hAnsi="Book Antiqua" w:cs="Times New Roman"/>
          <w:sz w:val="21"/>
          <w:szCs w:val="21"/>
        </w:rPr>
        <w:t>a</w:t>
      </w:r>
      <w:r w:rsidR="00A9797F" w:rsidRPr="00FD5324">
        <w:rPr>
          <w:rFonts w:ascii="Book Antiqua" w:eastAsia="Times New Roman" w:hAnsi="Book Antiqua" w:cs="Times New Roman"/>
          <w:sz w:val="21"/>
          <w:szCs w:val="21"/>
        </w:rPr>
        <w:t>nd</w:t>
      </w:r>
      <w:r w:rsidRPr="00FD5324">
        <w:rPr>
          <w:rFonts w:ascii="Book Antiqua" w:eastAsia="Times New Roman" w:hAnsi="Book Antiqua" w:cs="Times New Roman"/>
          <w:sz w:val="21"/>
          <w:szCs w:val="21"/>
        </w:rPr>
        <w:t xml:space="preserve"> objective</w:t>
      </w:r>
      <w:r w:rsidR="00A9797F" w:rsidRPr="00FD5324">
        <w:rPr>
          <w:rFonts w:ascii="Book Antiqua" w:eastAsia="Times New Roman" w:hAnsi="Book Antiqua" w:cs="Times New Roman"/>
          <w:sz w:val="21"/>
          <w:szCs w:val="21"/>
        </w:rPr>
        <w:t>s</w:t>
      </w:r>
      <w:r w:rsidRPr="00FD5324">
        <w:rPr>
          <w:rFonts w:ascii="Book Antiqua" w:eastAsia="Times New Roman" w:hAnsi="Book Antiqua" w:cs="Times New Roman"/>
          <w:sz w:val="21"/>
          <w:szCs w:val="21"/>
        </w:rPr>
        <w:t xml:space="preserve"> releva</w:t>
      </w:r>
      <w:r w:rsidR="00A9797F" w:rsidRPr="00FD5324">
        <w:rPr>
          <w:rFonts w:ascii="Book Antiqua" w:eastAsia="Times New Roman" w:hAnsi="Book Antiqua" w:cs="Times New Roman"/>
          <w:sz w:val="21"/>
          <w:szCs w:val="21"/>
        </w:rPr>
        <w:t>nt to</w:t>
      </w:r>
      <w:r w:rsidRPr="00FD5324">
        <w:rPr>
          <w:rFonts w:ascii="Book Antiqua" w:eastAsia="Times New Roman" w:hAnsi="Book Antiqua" w:cs="Times New Roman"/>
          <w:sz w:val="21"/>
          <w:szCs w:val="21"/>
        </w:rPr>
        <w:t xml:space="preserve"> </w:t>
      </w:r>
      <w:r w:rsidR="0065233D" w:rsidRPr="00FD5324">
        <w:rPr>
          <w:rFonts w:ascii="Book Antiqua" w:eastAsia="Times New Roman" w:hAnsi="Book Antiqua" w:cs="Times New Roman"/>
          <w:sz w:val="21"/>
          <w:szCs w:val="21"/>
        </w:rPr>
        <w:t>chief executive officer (“</w:t>
      </w:r>
      <w:r w:rsidRPr="00FD5324">
        <w:rPr>
          <w:rFonts w:ascii="Book Antiqua" w:eastAsia="Times New Roman" w:hAnsi="Book Antiqua" w:cs="Times New Roman"/>
          <w:sz w:val="21"/>
          <w:szCs w:val="21"/>
        </w:rPr>
        <w:t>CEO</w:t>
      </w:r>
      <w:r w:rsidR="0065233D" w:rsidRPr="00FD5324">
        <w:rPr>
          <w:rFonts w:ascii="Book Antiqua" w:eastAsia="Times New Roman" w:hAnsi="Book Antiqua" w:cs="Times New Roman"/>
          <w:sz w:val="21"/>
          <w:szCs w:val="21"/>
        </w:rPr>
        <w:t>”)</w:t>
      </w:r>
      <w:r w:rsidRPr="00FD5324">
        <w:rPr>
          <w:rFonts w:ascii="Book Antiqua" w:eastAsia="Times New Roman" w:hAnsi="Book Antiqua" w:cs="Times New Roman"/>
          <w:sz w:val="21"/>
          <w:szCs w:val="21"/>
        </w:rPr>
        <w:t xml:space="preserve"> compensation</w:t>
      </w:r>
      <w:r w:rsidR="00D13F21" w:rsidRPr="00FD5324">
        <w:rPr>
          <w:rFonts w:ascii="Book Antiqua" w:eastAsia="Times New Roman" w:hAnsi="Book Antiqua" w:cs="Times New Roman"/>
          <w:sz w:val="21"/>
          <w:szCs w:val="21"/>
        </w:rPr>
        <w:t xml:space="preserve"> and</w:t>
      </w:r>
      <w:r w:rsidRPr="00FD5324">
        <w:rPr>
          <w:rFonts w:ascii="Book Antiqua" w:eastAsia="Times New Roman" w:hAnsi="Book Antiqua" w:cs="Times New Roman"/>
          <w:sz w:val="21"/>
          <w:szCs w:val="21"/>
        </w:rPr>
        <w:t xml:space="preserve"> evaluate the CEO’s performance in light of those goals and objectives and, either as a Committee or together with the other directors who meet the independence requirements of the NYSE (as directed by the Board), determine and approve the CEO’s compensation</w:t>
      </w:r>
      <w:r w:rsidR="0065233D" w:rsidRPr="00FD5324">
        <w:rPr>
          <w:rFonts w:ascii="Book Antiqua" w:eastAsia="Times New Roman" w:hAnsi="Book Antiqua" w:cs="Times New Roman"/>
          <w:sz w:val="21"/>
          <w:szCs w:val="21"/>
        </w:rPr>
        <w:t>, including salary, bonus, fees, incentive awards</w:t>
      </w:r>
      <w:r w:rsidR="00D13F21" w:rsidRPr="00FD5324">
        <w:rPr>
          <w:rFonts w:ascii="Book Antiqua" w:eastAsia="Times New Roman" w:hAnsi="Book Antiqua" w:cs="Times New Roman"/>
          <w:sz w:val="21"/>
          <w:szCs w:val="21"/>
        </w:rPr>
        <w:t>, benefits</w:t>
      </w:r>
      <w:r w:rsidR="0065233D" w:rsidRPr="00FD5324">
        <w:rPr>
          <w:rFonts w:ascii="Book Antiqua" w:eastAsia="Times New Roman" w:hAnsi="Book Antiqua" w:cs="Times New Roman"/>
          <w:sz w:val="21"/>
          <w:szCs w:val="21"/>
        </w:rPr>
        <w:t xml:space="preserve"> and perquisites,</w:t>
      </w:r>
      <w:r w:rsidRPr="00FD5324">
        <w:rPr>
          <w:rFonts w:ascii="Book Antiqua" w:eastAsia="Times New Roman" w:hAnsi="Book Antiqua" w:cs="Times New Roman"/>
          <w:sz w:val="21"/>
          <w:szCs w:val="21"/>
        </w:rPr>
        <w:t xml:space="preserve"> based on this eva</w:t>
      </w:r>
      <w:r w:rsidR="00A9797F" w:rsidRPr="00FD5324">
        <w:rPr>
          <w:rFonts w:ascii="Book Antiqua" w:eastAsia="Times New Roman" w:hAnsi="Book Antiqua" w:cs="Times New Roman"/>
          <w:sz w:val="21"/>
          <w:szCs w:val="21"/>
        </w:rPr>
        <w:t xml:space="preserve">luation. </w:t>
      </w:r>
      <w:r w:rsidRPr="00FD5324">
        <w:rPr>
          <w:rFonts w:ascii="Book Antiqua" w:eastAsia="Times New Roman" w:hAnsi="Book Antiqua" w:cs="Times New Roman"/>
          <w:sz w:val="21"/>
          <w:szCs w:val="21"/>
        </w:rPr>
        <w:t>In determining the long-term incentive component of the CEO’s compensation, the Committee shall consider a number of factors, including</w:t>
      </w:r>
      <w:r w:rsidR="005D54D4" w:rsidRPr="00FD5324">
        <w:rPr>
          <w:rFonts w:ascii="Book Antiqua" w:eastAsia="Times New Roman" w:hAnsi="Book Antiqua" w:cs="Times New Roman"/>
          <w:sz w:val="21"/>
          <w:szCs w:val="21"/>
        </w:rPr>
        <w:t xml:space="preserve"> </w:t>
      </w:r>
      <w:r w:rsidRPr="00FD5324">
        <w:rPr>
          <w:rFonts w:ascii="Book Antiqua" w:eastAsia="Times New Roman" w:hAnsi="Book Antiqua" w:cs="Times New Roman"/>
          <w:sz w:val="21"/>
          <w:szCs w:val="21"/>
        </w:rPr>
        <w:t>the Company’s performance and relative stockholder return, the value of similar incentive awards to CEOs at comparable companies and the awards given to the CEO in past years.</w:t>
      </w:r>
    </w:p>
    <w:p w14:paraId="7E0AA261" w14:textId="77777777"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79045C18" w14:textId="568F5B03" w:rsidR="00F839D7"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Review</w:t>
      </w:r>
      <w:r w:rsidR="00D13F21" w:rsidRPr="00FD5324">
        <w:rPr>
          <w:rFonts w:ascii="Book Antiqua" w:eastAsia="Times New Roman" w:hAnsi="Book Antiqua" w:cs="Times New Roman"/>
          <w:sz w:val="21"/>
          <w:szCs w:val="21"/>
        </w:rPr>
        <w:t>, approve or, when appropriate</w:t>
      </w:r>
      <w:r w:rsidRPr="00FD5324">
        <w:rPr>
          <w:rFonts w:ascii="Book Antiqua" w:eastAsia="Times New Roman" w:hAnsi="Book Antiqua" w:cs="Times New Roman"/>
          <w:sz w:val="21"/>
          <w:szCs w:val="21"/>
        </w:rPr>
        <w:t>, make recommendations with respect to the compensation of the</w:t>
      </w:r>
      <w:r w:rsidR="00A9797F" w:rsidRPr="00FD5324">
        <w:rPr>
          <w:rFonts w:ascii="Book Antiqua" w:eastAsia="Times New Roman" w:hAnsi="Book Antiqua" w:cs="Times New Roman"/>
          <w:sz w:val="21"/>
          <w:szCs w:val="21"/>
        </w:rPr>
        <w:t xml:space="preserve"> </w:t>
      </w:r>
      <w:r w:rsidRPr="00FD5324">
        <w:rPr>
          <w:rFonts w:ascii="Book Antiqua" w:eastAsia="Times New Roman" w:hAnsi="Book Antiqua" w:cs="Times New Roman"/>
          <w:sz w:val="21"/>
          <w:szCs w:val="21"/>
        </w:rPr>
        <w:t>Company’s executive officers</w:t>
      </w:r>
      <w:r w:rsidR="00356B01" w:rsidRPr="00FD5324">
        <w:rPr>
          <w:rFonts w:ascii="Book Antiqua" w:eastAsia="Times New Roman" w:hAnsi="Book Antiqua" w:cs="Times New Roman"/>
          <w:sz w:val="21"/>
          <w:szCs w:val="21"/>
        </w:rPr>
        <w:t xml:space="preserve"> other than the CEO, including salaries, bonuses, fees, incentive awards</w:t>
      </w:r>
      <w:r w:rsidR="001E29A0" w:rsidRPr="00FD5324">
        <w:rPr>
          <w:rFonts w:ascii="Book Antiqua" w:eastAsia="Times New Roman" w:hAnsi="Book Antiqua" w:cs="Times New Roman"/>
          <w:sz w:val="21"/>
          <w:szCs w:val="21"/>
        </w:rPr>
        <w:t>, benefits</w:t>
      </w:r>
      <w:r w:rsidR="00356B01" w:rsidRPr="00FD5324">
        <w:rPr>
          <w:rFonts w:ascii="Book Antiqua" w:eastAsia="Times New Roman" w:hAnsi="Book Antiqua" w:cs="Times New Roman"/>
          <w:sz w:val="21"/>
          <w:szCs w:val="21"/>
        </w:rPr>
        <w:t xml:space="preserve"> and perquisites</w:t>
      </w:r>
      <w:r w:rsidR="009D2C14" w:rsidRPr="00FD5324">
        <w:rPr>
          <w:rFonts w:ascii="Book Antiqua" w:eastAsia="Times New Roman" w:hAnsi="Book Antiqua" w:cs="Times New Roman"/>
          <w:sz w:val="21"/>
          <w:szCs w:val="21"/>
        </w:rPr>
        <w:t xml:space="preserve">. </w:t>
      </w:r>
      <w:r w:rsidR="00942000" w:rsidRPr="00FD5324">
        <w:rPr>
          <w:rFonts w:ascii="Book Antiqua" w:eastAsia="Times New Roman" w:hAnsi="Book Antiqua" w:cs="Times New Roman"/>
          <w:sz w:val="21"/>
          <w:szCs w:val="21"/>
        </w:rPr>
        <w:t>This would include, but not be limited to, establishing targeted performance levels and certifying performance results with respect to the Company’s corporate incentive compensation awards, as well as approving relevant comparator sets, peer groups, or other benchmarks to be used when assessing the compensation of the Company’s executive officers.</w:t>
      </w:r>
    </w:p>
    <w:p w14:paraId="0E290AB3" w14:textId="7704E5D8"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47964D8B" w14:textId="625FCC08" w:rsidR="00FD4CD1" w:rsidRPr="00FD5324" w:rsidRDefault="00FD4CD1" w:rsidP="00FD4CD1">
      <w:pPr>
        <w:pStyle w:val="ListParagraph"/>
        <w:numPr>
          <w:ilvl w:val="0"/>
          <w:numId w:val="1"/>
        </w:numPr>
        <w:tabs>
          <w:tab w:val="left" w:pos="720"/>
        </w:tabs>
        <w:spacing w:after="0" w:line="240" w:lineRule="auto"/>
        <w:ind w:right="-180"/>
        <w:jc w:val="both"/>
        <w:rPr>
          <w:rFonts w:ascii="Book Antiqua" w:hAnsi="Book Antiqua" w:cs="Times New Roman"/>
          <w:sz w:val="21"/>
          <w:szCs w:val="21"/>
        </w:rPr>
      </w:pPr>
      <w:r w:rsidRPr="00FD5324">
        <w:rPr>
          <w:rFonts w:ascii="Book Antiqua" w:hAnsi="Book Antiqua" w:cs="Times New Roman"/>
          <w:sz w:val="21"/>
          <w:szCs w:val="21"/>
        </w:rPr>
        <w:t>Review and assess the risks associated with the Company’s compensation policies and practices, including an annual review of (</w:t>
      </w:r>
      <w:proofErr w:type="spellStart"/>
      <w:r w:rsidRPr="00FD5324">
        <w:rPr>
          <w:rFonts w:ascii="Book Antiqua" w:hAnsi="Book Antiqua" w:cs="Times New Roman"/>
          <w:sz w:val="21"/>
          <w:szCs w:val="21"/>
        </w:rPr>
        <w:t>i</w:t>
      </w:r>
      <w:proofErr w:type="spellEnd"/>
      <w:r w:rsidRPr="00FD5324">
        <w:rPr>
          <w:rFonts w:ascii="Book Antiqua" w:hAnsi="Book Antiqua" w:cs="Times New Roman"/>
          <w:sz w:val="21"/>
          <w:szCs w:val="21"/>
        </w:rPr>
        <w:t xml:space="preserve">) the Company’s risk assessment of its compensation policies and practices for its employees and an annual determination of whether any such risks are reasonably likely to have a material adverse effect on the Company and (ii) whether the </w:t>
      </w:r>
      <w:r w:rsidRPr="00FD5324">
        <w:rPr>
          <w:rFonts w:ascii="Book Antiqua" w:hAnsi="Book Antiqua" w:cs="Times New Roman"/>
          <w:sz w:val="21"/>
          <w:szCs w:val="21"/>
        </w:rPr>
        <w:lastRenderedPageBreak/>
        <w:t>Company’s incentive-compensation plans encourage excessive or inappropriate risk taking.</w:t>
      </w:r>
    </w:p>
    <w:p w14:paraId="10232E12" w14:textId="77777777" w:rsidR="00FD4CD1" w:rsidRPr="00FD5324" w:rsidRDefault="00FD4CD1" w:rsidP="00942000">
      <w:pPr>
        <w:tabs>
          <w:tab w:val="left" w:pos="720"/>
        </w:tabs>
        <w:spacing w:after="0" w:line="240" w:lineRule="auto"/>
        <w:ind w:right="-180"/>
        <w:jc w:val="both"/>
        <w:rPr>
          <w:rFonts w:ascii="Book Antiqua" w:hAnsi="Book Antiqua" w:cs="Times New Roman"/>
          <w:sz w:val="21"/>
          <w:szCs w:val="21"/>
        </w:rPr>
      </w:pPr>
    </w:p>
    <w:p w14:paraId="578C3CE2" w14:textId="68FF7A50" w:rsidR="00094314" w:rsidRPr="00FD5324" w:rsidRDefault="0070378A">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Review, approve or, when appropriate, make recommendations to the Board regarding</w:t>
      </w:r>
      <w:r w:rsidR="001E29A0" w:rsidRPr="00FD5324">
        <w:rPr>
          <w:rFonts w:ascii="Book Antiqua" w:eastAsia="Times New Roman" w:hAnsi="Book Antiqua" w:cs="Times New Roman"/>
          <w:sz w:val="21"/>
          <w:szCs w:val="21"/>
        </w:rPr>
        <w:t xml:space="preserve"> adoption or material modification of</w:t>
      </w:r>
      <w:r w:rsidRPr="00FD5324">
        <w:rPr>
          <w:rFonts w:ascii="Book Antiqua" w:eastAsia="Times New Roman" w:hAnsi="Book Antiqua" w:cs="Times New Roman"/>
          <w:sz w:val="21"/>
          <w:szCs w:val="21"/>
        </w:rPr>
        <w:t xml:space="preserve"> the Company’s </w:t>
      </w:r>
      <w:r w:rsidR="00087A52" w:rsidRPr="00FD5324">
        <w:rPr>
          <w:rFonts w:ascii="Book Antiqua" w:eastAsia="Times New Roman" w:hAnsi="Book Antiqua" w:cs="Times New Roman"/>
          <w:sz w:val="21"/>
          <w:szCs w:val="21"/>
        </w:rPr>
        <w:t xml:space="preserve">executive compensation philosophy, strategy and principles, and </w:t>
      </w:r>
      <w:r w:rsidRPr="00FD5324">
        <w:rPr>
          <w:rFonts w:ascii="Book Antiqua" w:eastAsia="Times New Roman" w:hAnsi="Book Antiqua" w:cs="Times New Roman"/>
          <w:sz w:val="21"/>
          <w:szCs w:val="21"/>
        </w:rPr>
        <w:t>compensation plans, including with respect to incentive</w:t>
      </w:r>
      <w:r w:rsidR="00F7190B" w:rsidRPr="00FD5324">
        <w:rPr>
          <w:rFonts w:ascii="Book Antiqua" w:eastAsia="Times New Roman" w:hAnsi="Book Antiqua" w:cs="Times New Roman"/>
          <w:sz w:val="21"/>
          <w:szCs w:val="21"/>
        </w:rPr>
        <w:t xml:space="preserve"> </w:t>
      </w:r>
      <w:r w:rsidRPr="00FD5324">
        <w:rPr>
          <w:rFonts w:ascii="Book Antiqua" w:eastAsia="Times New Roman" w:hAnsi="Book Antiqua" w:cs="Times New Roman"/>
          <w:sz w:val="21"/>
          <w:szCs w:val="21"/>
        </w:rPr>
        <w:t xml:space="preserve">compensation plans and equity-based plans, </w:t>
      </w:r>
      <w:r w:rsidR="00D67FC6" w:rsidRPr="00FD5324">
        <w:rPr>
          <w:rFonts w:ascii="Book Antiqua" w:eastAsia="Times New Roman" w:hAnsi="Book Antiqua" w:cs="Times New Roman"/>
          <w:sz w:val="21"/>
          <w:szCs w:val="21"/>
        </w:rPr>
        <w:t>policies,</w:t>
      </w:r>
      <w:r w:rsidRPr="00FD5324">
        <w:rPr>
          <w:rFonts w:ascii="Book Antiqua" w:eastAsia="Times New Roman" w:hAnsi="Book Antiqua" w:cs="Times New Roman"/>
          <w:sz w:val="21"/>
          <w:szCs w:val="21"/>
        </w:rPr>
        <w:t xml:space="preserve"> and programs.</w:t>
      </w:r>
    </w:p>
    <w:p w14:paraId="13D7231E" w14:textId="77777777" w:rsidR="000E7ACC" w:rsidRPr="00FD5324" w:rsidRDefault="000E7ACC" w:rsidP="00942000">
      <w:pPr>
        <w:pStyle w:val="ListParagraph"/>
        <w:rPr>
          <w:rFonts w:ascii="Book Antiqua" w:eastAsia="Times New Roman" w:hAnsi="Book Antiqua" w:cs="Times New Roman"/>
          <w:sz w:val="21"/>
          <w:szCs w:val="21"/>
        </w:rPr>
      </w:pPr>
    </w:p>
    <w:p w14:paraId="0CDCF607" w14:textId="4C110944" w:rsidR="000E7ACC" w:rsidRPr="00FD5324" w:rsidRDefault="000E7ACC"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Review the Company’s employee and management benefit plans and policies and provide oversight of each employee benefit plan.</w:t>
      </w:r>
    </w:p>
    <w:p w14:paraId="2C7F90CF" w14:textId="34E3121E" w:rsidR="00A36FF0" w:rsidRPr="00FD5324" w:rsidRDefault="00A36FF0" w:rsidP="00F839D7">
      <w:pPr>
        <w:tabs>
          <w:tab w:val="left" w:pos="720"/>
        </w:tabs>
        <w:spacing w:after="0" w:line="240" w:lineRule="auto"/>
        <w:ind w:left="720" w:right="-180"/>
        <w:jc w:val="both"/>
        <w:rPr>
          <w:rFonts w:ascii="Book Antiqua" w:eastAsia="Times New Roman" w:hAnsi="Book Antiqua" w:cs="Times New Roman"/>
          <w:sz w:val="21"/>
          <w:szCs w:val="21"/>
        </w:rPr>
      </w:pPr>
    </w:p>
    <w:p w14:paraId="74D7196B" w14:textId="000DEDDE" w:rsidR="00094314" w:rsidRPr="00FD5324" w:rsidRDefault="0070378A" w:rsidP="00971226">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Approve gra</w:t>
      </w:r>
      <w:r w:rsidR="00A9797F" w:rsidRPr="00FD5324">
        <w:rPr>
          <w:rFonts w:ascii="Book Antiqua" w:eastAsia="Times New Roman" w:hAnsi="Book Antiqua" w:cs="Times New Roman"/>
          <w:sz w:val="21"/>
          <w:szCs w:val="21"/>
        </w:rPr>
        <w:t>nts</w:t>
      </w:r>
      <w:r w:rsidRPr="00FD5324">
        <w:rPr>
          <w:rFonts w:ascii="Book Antiqua" w:eastAsia="Times New Roman" w:hAnsi="Book Antiqua" w:cs="Times New Roman"/>
          <w:sz w:val="21"/>
          <w:szCs w:val="21"/>
        </w:rPr>
        <w:t xml:space="preserve"> and/or awa</w:t>
      </w:r>
      <w:r w:rsidR="00A9797F" w:rsidRPr="00FD5324">
        <w:rPr>
          <w:rFonts w:ascii="Book Antiqua" w:eastAsia="Times New Roman" w:hAnsi="Book Antiqua" w:cs="Times New Roman"/>
          <w:sz w:val="21"/>
          <w:szCs w:val="21"/>
        </w:rPr>
        <w:t>rds</w:t>
      </w:r>
      <w:r w:rsidRPr="00FD5324">
        <w:rPr>
          <w:rFonts w:ascii="Book Antiqua" w:eastAsia="Times New Roman" w:hAnsi="Book Antiqua" w:cs="Times New Roman"/>
          <w:sz w:val="21"/>
          <w:szCs w:val="21"/>
        </w:rPr>
        <w:t xml:space="preserve"> of restricte</w:t>
      </w:r>
      <w:r w:rsidR="00A9797F" w:rsidRPr="00FD5324">
        <w:rPr>
          <w:rFonts w:ascii="Book Antiqua" w:eastAsia="Times New Roman" w:hAnsi="Book Antiqua" w:cs="Times New Roman"/>
          <w:sz w:val="21"/>
          <w:szCs w:val="21"/>
        </w:rPr>
        <w:t xml:space="preserve">d </w:t>
      </w:r>
      <w:r w:rsidRPr="00FD5324">
        <w:rPr>
          <w:rFonts w:ascii="Book Antiqua" w:eastAsia="Times New Roman" w:hAnsi="Book Antiqua" w:cs="Times New Roman"/>
          <w:sz w:val="21"/>
          <w:szCs w:val="21"/>
        </w:rPr>
        <w:t>stoc</w:t>
      </w:r>
      <w:r w:rsidR="00A9797F" w:rsidRPr="00FD5324">
        <w:rPr>
          <w:rFonts w:ascii="Book Antiqua" w:eastAsia="Times New Roman" w:hAnsi="Book Antiqua" w:cs="Times New Roman"/>
          <w:sz w:val="21"/>
          <w:szCs w:val="21"/>
        </w:rPr>
        <w:t xml:space="preserve">k, stock </w:t>
      </w:r>
      <w:r w:rsidRPr="00FD5324">
        <w:rPr>
          <w:rFonts w:ascii="Book Antiqua" w:eastAsia="Times New Roman" w:hAnsi="Book Antiqua" w:cs="Times New Roman"/>
          <w:sz w:val="21"/>
          <w:szCs w:val="21"/>
        </w:rPr>
        <w:t>options and other for</w:t>
      </w:r>
      <w:r w:rsidR="00A9797F" w:rsidRPr="00FD5324">
        <w:rPr>
          <w:rFonts w:ascii="Book Antiqua" w:eastAsia="Times New Roman" w:hAnsi="Book Antiqua" w:cs="Times New Roman"/>
          <w:sz w:val="21"/>
          <w:szCs w:val="21"/>
        </w:rPr>
        <w:t>ms</w:t>
      </w:r>
      <w:r w:rsidRPr="00FD5324">
        <w:rPr>
          <w:rFonts w:ascii="Book Antiqua" w:eastAsia="Times New Roman" w:hAnsi="Book Antiqua" w:cs="Times New Roman"/>
          <w:sz w:val="21"/>
          <w:szCs w:val="21"/>
        </w:rPr>
        <w:t xml:space="preserve"> of </w:t>
      </w:r>
      <w:r w:rsidR="006355AA" w:rsidRPr="00FD5324">
        <w:rPr>
          <w:rFonts w:ascii="Book Antiqua" w:eastAsia="Times New Roman" w:hAnsi="Book Antiqua" w:cs="Times New Roman"/>
          <w:sz w:val="21"/>
          <w:szCs w:val="21"/>
        </w:rPr>
        <w:t>incentive</w:t>
      </w:r>
      <w:r w:rsidRPr="00FD5324">
        <w:rPr>
          <w:rFonts w:ascii="Book Antiqua" w:eastAsia="Times New Roman" w:hAnsi="Book Antiqua" w:cs="Times New Roman"/>
          <w:sz w:val="21"/>
          <w:szCs w:val="21"/>
        </w:rPr>
        <w:t xml:space="preserve"> compensation </w:t>
      </w:r>
      <w:r w:rsidR="006355AA" w:rsidRPr="00FD5324">
        <w:rPr>
          <w:rFonts w:ascii="Book Antiqua" w:eastAsia="Times New Roman" w:hAnsi="Book Antiqua" w:cs="Times New Roman"/>
          <w:sz w:val="21"/>
          <w:szCs w:val="21"/>
        </w:rPr>
        <w:t xml:space="preserve">(cash and equity) </w:t>
      </w:r>
      <w:r w:rsidRPr="00FD5324">
        <w:rPr>
          <w:rFonts w:ascii="Book Antiqua" w:eastAsia="Times New Roman" w:hAnsi="Book Antiqua" w:cs="Times New Roman"/>
          <w:sz w:val="21"/>
          <w:szCs w:val="21"/>
        </w:rPr>
        <w:t>under the Company’s stock option, incentive</w:t>
      </w:r>
      <w:r w:rsidR="00F7190B" w:rsidRPr="00FD5324">
        <w:rPr>
          <w:rFonts w:ascii="Book Antiqua" w:eastAsia="Times New Roman" w:hAnsi="Book Antiqua" w:cs="Times New Roman"/>
          <w:sz w:val="21"/>
          <w:szCs w:val="21"/>
        </w:rPr>
        <w:t xml:space="preserve"> </w:t>
      </w:r>
      <w:r w:rsidRPr="00FD5324">
        <w:rPr>
          <w:rFonts w:ascii="Book Antiqua" w:eastAsia="Times New Roman" w:hAnsi="Book Antiqua" w:cs="Times New Roman"/>
          <w:sz w:val="21"/>
          <w:szCs w:val="21"/>
        </w:rPr>
        <w:t>compensation and equity-based plans.</w:t>
      </w:r>
    </w:p>
    <w:p w14:paraId="137A89B0" w14:textId="77777777" w:rsidR="00303857" w:rsidRPr="00FD5324" w:rsidRDefault="00303857" w:rsidP="00942000">
      <w:pPr>
        <w:pStyle w:val="ListParagraph"/>
        <w:tabs>
          <w:tab w:val="left" w:pos="720"/>
        </w:tabs>
        <w:spacing w:after="0" w:line="240" w:lineRule="auto"/>
        <w:ind w:right="-180"/>
        <w:jc w:val="both"/>
        <w:rPr>
          <w:rFonts w:ascii="Book Antiqua" w:eastAsia="Times New Roman" w:hAnsi="Book Antiqua" w:cs="Times New Roman"/>
          <w:sz w:val="21"/>
          <w:szCs w:val="21"/>
        </w:rPr>
      </w:pPr>
    </w:p>
    <w:p w14:paraId="7373C237" w14:textId="2136CC92" w:rsidR="00303857" w:rsidRPr="00FD5324" w:rsidRDefault="003A26F6" w:rsidP="009D2C14">
      <w:pPr>
        <w:pStyle w:val="ListParagraph"/>
        <w:numPr>
          <w:ilvl w:val="0"/>
          <w:numId w:val="1"/>
        </w:numPr>
        <w:tabs>
          <w:tab w:val="left" w:pos="720"/>
        </w:tabs>
        <w:spacing w:after="0" w:line="240" w:lineRule="auto"/>
        <w:ind w:right="-180"/>
        <w:jc w:val="both"/>
        <w:rPr>
          <w:rFonts w:ascii="Book Antiqua" w:hAnsi="Book Antiqua" w:cs="Times New Roman"/>
          <w:color w:val="000000"/>
          <w:sz w:val="21"/>
          <w:szCs w:val="21"/>
        </w:rPr>
      </w:pPr>
      <w:r w:rsidRPr="00FD5324">
        <w:rPr>
          <w:rFonts w:ascii="Book Antiqua" w:eastAsia="Times New Roman" w:hAnsi="Book Antiqua" w:cs="Times New Roman"/>
          <w:sz w:val="21"/>
          <w:szCs w:val="21"/>
        </w:rPr>
        <w:t>R</w:t>
      </w:r>
      <w:r w:rsidR="00303857" w:rsidRPr="00FD5324">
        <w:rPr>
          <w:rFonts w:ascii="Book Antiqua" w:eastAsia="Times New Roman" w:hAnsi="Book Antiqua" w:cs="Times New Roman"/>
          <w:sz w:val="21"/>
          <w:szCs w:val="21"/>
        </w:rPr>
        <w:t>eview and assess the CEO and other executive officer succession planning and report its findings and recommendations to the Board, and work with the Board in evaluating potential successors to CEO and executive officer positions.</w:t>
      </w:r>
    </w:p>
    <w:p w14:paraId="4DB17725" w14:textId="046B488E" w:rsidR="00AC46B7" w:rsidRPr="00FD5324" w:rsidRDefault="00AC46B7" w:rsidP="00AC46B7">
      <w:pPr>
        <w:pStyle w:val="ListParagraph"/>
        <w:rPr>
          <w:rFonts w:ascii="Book Antiqua" w:hAnsi="Book Antiqua" w:cs="Times New Roman"/>
          <w:color w:val="000000"/>
          <w:sz w:val="21"/>
          <w:szCs w:val="21"/>
        </w:rPr>
      </w:pPr>
    </w:p>
    <w:p w14:paraId="7666D04A" w14:textId="23A8F933" w:rsidR="006A7DDF" w:rsidRPr="00FD5324" w:rsidRDefault="003A26F6" w:rsidP="009966BB">
      <w:pPr>
        <w:pStyle w:val="ListParagraph"/>
        <w:numPr>
          <w:ilvl w:val="0"/>
          <w:numId w:val="1"/>
        </w:numPr>
        <w:tabs>
          <w:tab w:val="left" w:pos="720"/>
        </w:tabs>
        <w:spacing w:after="0" w:line="240" w:lineRule="auto"/>
        <w:ind w:right="-180"/>
        <w:jc w:val="both"/>
        <w:rPr>
          <w:rFonts w:ascii="Book Antiqua" w:hAnsi="Book Antiqua" w:cs="Times New Roman"/>
          <w:color w:val="000000"/>
          <w:sz w:val="21"/>
          <w:szCs w:val="21"/>
        </w:rPr>
      </w:pPr>
      <w:r w:rsidRPr="00FD5324">
        <w:rPr>
          <w:rFonts w:ascii="Book Antiqua" w:hAnsi="Book Antiqua" w:cs="Times New Roman"/>
          <w:color w:val="000000"/>
          <w:sz w:val="21"/>
          <w:szCs w:val="21"/>
        </w:rPr>
        <w:t>R</w:t>
      </w:r>
      <w:r w:rsidR="00AC46B7" w:rsidRPr="00FD5324">
        <w:rPr>
          <w:rFonts w:ascii="Book Antiqua" w:hAnsi="Book Antiqua" w:cs="Times New Roman"/>
          <w:color w:val="000000"/>
          <w:sz w:val="21"/>
          <w:szCs w:val="21"/>
        </w:rPr>
        <w:t>eview the Company’s leadership development programs and initiatives and discuss performance, leadership development, and succession planning</w:t>
      </w:r>
      <w:r w:rsidR="009966BB" w:rsidRPr="00FD5324">
        <w:rPr>
          <w:rFonts w:ascii="Book Antiqua" w:hAnsi="Book Antiqua" w:cs="Times New Roman"/>
          <w:color w:val="000000"/>
          <w:sz w:val="21"/>
          <w:szCs w:val="21"/>
        </w:rPr>
        <w:t>.</w:t>
      </w:r>
    </w:p>
    <w:p w14:paraId="2CCD6A0C" w14:textId="77777777" w:rsidR="00303857" w:rsidRPr="00FD5324" w:rsidRDefault="00303857" w:rsidP="00942000">
      <w:pPr>
        <w:pStyle w:val="ListParagraph"/>
        <w:tabs>
          <w:tab w:val="left" w:pos="720"/>
        </w:tabs>
        <w:spacing w:after="0" w:line="240" w:lineRule="auto"/>
        <w:ind w:right="-180"/>
        <w:jc w:val="both"/>
        <w:rPr>
          <w:rFonts w:ascii="Book Antiqua" w:hAnsi="Book Antiqua" w:cs="Times New Roman"/>
          <w:color w:val="000000"/>
          <w:sz w:val="21"/>
          <w:szCs w:val="21"/>
        </w:rPr>
      </w:pPr>
    </w:p>
    <w:p w14:paraId="55B111D2" w14:textId="643D5F6E" w:rsidR="00303857" w:rsidRPr="00FD5324" w:rsidRDefault="00F554A9" w:rsidP="00AD627F">
      <w:pPr>
        <w:pStyle w:val="ListParagraph"/>
        <w:numPr>
          <w:ilvl w:val="0"/>
          <w:numId w:val="1"/>
        </w:numPr>
        <w:tabs>
          <w:tab w:val="left" w:pos="720"/>
        </w:tabs>
        <w:spacing w:after="0" w:line="240" w:lineRule="auto"/>
        <w:ind w:right="-180"/>
        <w:jc w:val="both"/>
        <w:rPr>
          <w:rFonts w:ascii="Book Antiqua" w:hAnsi="Book Antiqua" w:cs="Times New Roman"/>
          <w:color w:val="000000"/>
          <w:sz w:val="21"/>
          <w:szCs w:val="21"/>
        </w:rPr>
      </w:pPr>
      <w:r w:rsidRPr="00FD5324">
        <w:rPr>
          <w:rFonts w:ascii="Book Antiqua" w:hAnsi="Book Antiqua" w:cs="Times New Roman"/>
          <w:color w:val="000000"/>
          <w:sz w:val="21"/>
          <w:szCs w:val="21"/>
        </w:rPr>
        <w:t>R</w:t>
      </w:r>
      <w:r w:rsidR="00303857" w:rsidRPr="00FD5324">
        <w:rPr>
          <w:rFonts w:ascii="Book Antiqua" w:hAnsi="Book Antiqua" w:cs="Times New Roman"/>
          <w:color w:val="000000"/>
          <w:sz w:val="21"/>
          <w:szCs w:val="21"/>
        </w:rPr>
        <w:t>eview and monitor processes and initiatives related to</w:t>
      </w:r>
      <w:r w:rsidR="006355AA" w:rsidRPr="00FD5324">
        <w:rPr>
          <w:rFonts w:ascii="Book Antiqua" w:hAnsi="Book Antiqua" w:cs="Times New Roman"/>
          <w:color w:val="000000"/>
          <w:sz w:val="21"/>
          <w:szCs w:val="21"/>
        </w:rPr>
        <w:t xml:space="preserve"> organizational engagement, talent sourcing and development,</w:t>
      </w:r>
      <w:r w:rsidR="00303857" w:rsidRPr="00FD5324">
        <w:rPr>
          <w:rFonts w:ascii="Book Antiqua" w:hAnsi="Book Antiqua" w:cs="Times New Roman"/>
          <w:color w:val="000000"/>
          <w:sz w:val="21"/>
          <w:szCs w:val="21"/>
        </w:rPr>
        <w:t xml:space="preserve"> </w:t>
      </w:r>
      <w:r w:rsidR="006A7DDF" w:rsidRPr="00FD5324">
        <w:rPr>
          <w:rFonts w:ascii="Book Antiqua" w:hAnsi="Book Antiqua" w:cs="Times New Roman"/>
          <w:color w:val="000000"/>
          <w:sz w:val="21"/>
          <w:szCs w:val="21"/>
        </w:rPr>
        <w:t xml:space="preserve">leadership effectiveness, </w:t>
      </w:r>
      <w:r w:rsidR="00303857" w:rsidRPr="00FD5324">
        <w:rPr>
          <w:rFonts w:ascii="Book Antiqua" w:hAnsi="Book Antiqua" w:cs="Times New Roman"/>
          <w:color w:val="000000"/>
          <w:sz w:val="21"/>
          <w:szCs w:val="21"/>
        </w:rPr>
        <w:t>work environment</w:t>
      </w:r>
      <w:r w:rsidR="006355AA" w:rsidRPr="00FD5324">
        <w:rPr>
          <w:rFonts w:ascii="Book Antiqua" w:hAnsi="Book Antiqua" w:cs="Times New Roman"/>
          <w:color w:val="000000"/>
          <w:sz w:val="21"/>
          <w:szCs w:val="21"/>
        </w:rPr>
        <w:t>,</w:t>
      </w:r>
      <w:r w:rsidR="00303857" w:rsidRPr="00FD5324">
        <w:rPr>
          <w:rFonts w:ascii="Book Antiqua" w:hAnsi="Book Antiqua" w:cs="Times New Roman"/>
          <w:color w:val="000000"/>
          <w:sz w:val="21"/>
          <w:szCs w:val="21"/>
        </w:rPr>
        <w:t xml:space="preserve"> and </w:t>
      </w:r>
      <w:r w:rsidR="006355AA" w:rsidRPr="00FD5324">
        <w:rPr>
          <w:rFonts w:ascii="Book Antiqua" w:hAnsi="Book Antiqua" w:cs="Times New Roman"/>
          <w:color w:val="000000"/>
          <w:sz w:val="21"/>
          <w:szCs w:val="21"/>
        </w:rPr>
        <w:t xml:space="preserve">other </w:t>
      </w:r>
      <w:r w:rsidR="00303857" w:rsidRPr="00FD5324">
        <w:rPr>
          <w:rFonts w:ascii="Book Antiqua" w:hAnsi="Book Antiqua" w:cs="Times New Roman"/>
          <w:color w:val="000000"/>
          <w:sz w:val="21"/>
          <w:szCs w:val="21"/>
        </w:rPr>
        <w:t>cultur</w:t>
      </w:r>
      <w:r w:rsidR="006355AA" w:rsidRPr="00FD5324">
        <w:rPr>
          <w:rFonts w:ascii="Book Antiqua" w:hAnsi="Book Antiqua" w:cs="Times New Roman"/>
          <w:color w:val="000000"/>
          <w:sz w:val="21"/>
          <w:szCs w:val="21"/>
        </w:rPr>
        <w:t>al issues as may be determined by the Committee</w:t>
      </w:r>
      <w:r w:rsidR="00303857" w:rsidRPr="00FD5324">
        <w:rPr>
          <w:rFonts w:ascii="Book Antiqua" w:hAnsi="Book Antiqua" w:cs="Times New Roman"/>
          <w:color w:val="000000"/>
          <w:sz w:val="21"/>
          <w:szCs w:val="21"/>
        </w:rPr>
        <w:t xml:space="preserve">. </w:t>
      </w:r>
    </w:p>
    <w:p w14:paraId="5AD56831" w14:textId="77777777" w:rsidR="00303857" w:rsidRPr="00FD5324" w:rsidRDefault="00303857" w:rsidP="00942000">
      <w:pPr>
        <w:pStyle w:val="ListParagraph"/>
        <w:rPr>
          <w:rFonts w:ascii="Book Antiqua" w:hAnsi="Book Antiqua" w:cs="Times New Roman"/>
          <w:color w:val="000000"/>
          <w:sz w:val="21"/>
          <w:szCs w:val="21"/>
        </w:rPr>
      </w:pPr>
    </w:p>
    <w:p w14:paraId="1C008405" w14:textId="203115D7" w:rsidR="00303857" w:rsidRPr="00FD5324" w:rsidRDefault="009966BB" w:rsidP="00942000">
      <w:pPr>
        <w:pStyle w:val="ListParagraph"/>
        <w:numPr>
          <w:ilvl w:val="0"/>
          <w:numId w:val="1"/>
        </w:numPr>
        <w:tabs>
          <w:tab w:val="left" w:pos="720"/>
        </w:tabs>
        <w:spacing w:after="0" w:line="240" w:lineRule="auto"/>
        <w:ind w:right="-180"/>
        <w:jc w:val="both"/>
        <w:rPr>
          <w:rFonts w:ascii="Book Antiqua" w:hAnsi="Book Antiqua" w:cs="Times New Roman"/>
          <w:color w:val="000000"/>
          <w:sz w:val="21"/>
          <w:szCs w:val="21"/>
        </w:rPr>
      </w:pPr>
      <w:r w:rsidRPr="00FD5324">
        <w:rPr>
          <w:rFonts w:ascii="Book Antiqua" w:hAnsi="Book Antiqua" w:cs="Times New Roman"/>
          <w:color w:val="000000"/>
          <w:sz w:val="21"/>
          <w:szCs w:val="21"/>
        </w:rPr>
        <w:t xml:space="preserve">Annually </w:t>
      </w:r>
      <w:r w:rsidR="007212F3" w:rsidRPr="00FD5324">
        <w:rPr>
          <w:rFonts w:ascii="Book Antiqua" w:hAnsi="Book Antiqua" w:cs="Times New Roman"/>
          <w:color w:val="000000"/>
          <w:sz w:val="21"/>
          <w:szCs w:val="21"/>
        </w:rPr>
        <w:t xml:space="preserve">review and monitor the Company’s </w:t>
      </w:r>
      <w:r w:rsidR="003A26F6" w:rsidRPr="00FD5324">
        <w:rPr>
          <w:rFonts w:ascii="Book Antiqua" w:hAnsi="Book Antiqua" w:cs="Times New Roman"/>
          <w:color w:val="000000"/>
          <w:sz w:val="21"/>
          <w:szCs w:val="21"/>
        </w:rPr>
        <w:t>h</w:t>
      </w:r>
      <w:r w:rsidRPr="00FD5324">
        <w:rPr>
          <w:rFonts w:ascii="Book Antiqua" w:hAnsi="Book Antiqua" w:cs="Times New Roman"/>
          <w:color w:val="000000"/>
          <w:sz w:val="21"/>
          <w:szCs w:val="21"/>
        </w:rPr>
        <w:t xml:space="preserve">uman </w:t>
      </w:r>
      <w:r w:rsidR="003A26F6" w:rsidRPr="00FD5324">
        <w:rPr>
          <w:rFonts w:ascii="Book Antiqua" w:hAnsi="Book Antiqua" w:cs="Times New Roman"/>
          <w:color w:val="000000"/>
          <w:sz w:val="21"/>
          <w:szCs w:val="21"/>
        </w:rPr>
        <w:t>c</w:t>
      </w:r>
      <w:r w:rsidRPr="00FD5324">
        <w:rPr>
          <w:rFonts w:ascii="Book Antiqua" w:hAnsi="Book Antiqua" w:cs="Times New Roman"/>
          <w:color w:val="000000"/>
          <w:sz w:val="21"/>
          <w:szCs w:val="21"/>
        </w:rPr>
        <w:t xml:space="preserve">apital </w:t>
      </w:r>
      <w:r w:rsidR="003A26F6" w:rsidRPr="00FD5324">
        <w:rPr>
          <w:rFonts w:ascii="Book Antiqua" w:hAnsi="Book Antiqua" w:cs="Times New Roman"/>
          <w:color w:val="000000"/>
          <w:sz w:val="21"/>
          <w:szCs w:val="21"/>
        </w:rPr>
        <w:t>m</w:t>
      </w:r>
      <w:r w:rsidRPr="00FD5324">
        <w:rPr>
          <w:rFonts w:ascii="Book Antiqua" w:hAnsi="Book Antiqua" w:cs="Times New Roman"/>
          <w:color w:val="000000"/>
          <w:sz w:val="21"/>
          <w:szCs w:val="21"/>
        </w:rPr>
        <w:t xml:space="preserve">anagement practices including but not limited to </w:t>
      </w:r>
      <w:r w:rsidR="007212F3" w:rsidRPr="00FD5324">
        <w:rPr>
          <w:rFonts w:ascii="Book Antiqua" w:hAnsi="Book Antiqua" w:cs="Times New Roman"/>
          <w:color w:val="000000"/>
          <w:sz w:val="21"/>
          <w:szCs w:val="21"/>
        </w:rPr>
        <w:t>diversity</w:t>
      </w:r>
      <w:r w:rsidR="00F554A9" w:rsidRPr="00FD5324">
        <w:rPr>
          <w:rFonts w:ascii="Book Antiqua" w:hAnsi="Book Antiqua" w:cs="Times New Roman"/>
          <w:color w:val="000000"/>
          <w:sz w:val="21"/>
          <w:szCs w:val="21"/>
        </w:rPr>
        <w:t xml:space="preserve"> and</w:t>
      </w:r>
      <w:r w:rsidR="00450CB3" w:rsidRPr="00FD5324">
        <w:rPr>
          <w:rFonts w:ascii="Book Antiqua" w:hAnsi="Book Antiqua" w:cs="Times New Roman"/>
          <w:color w:val="000000"/>
          <w:sz w:val="21"/>
          <w:szCs w:val="21"/>
        </w:rPr>
        <w:t xml:space="preserve"> </w:t>
      </w:r>
      <w:r w:rsidR="0041433F" w:rsidRPr="00FD5324">
        <w:rPr>
          <w:rFonts w:ascii="Book Antiqua" w:hAnsi="Book Antiqua" w:cs="Times New Roman"/>
          <w:color w:val="000000"/>
          <w:sz w:val="21"/>
          <w:szCs w:val="21"/>
        </w:rPr>
        <w:t>inclusion</w:t>
      </w:r>
      <w:r w:rsidR="007212F3" w:rsidRPr="00FD5324">
        <w:rPr>
          <w:rFonts w:ascii="Book Antiqua" w:hAnsi="Book Antiqua" w:cs="Times New Roman"/>
          <w:color w:val="000000"/>
          <w:sz w:val="21"/>
          <w:szCs w:val="21"/>
        </w:rPr>
        <w:t xml:space="preserve"> philosoph</w:t>
      </w:r>
      <w:r w:rsidRPr="00FD5324">
        <w:rPr>
          <w:rFonts w:ascii="Book Antiqua" w:hAnsi="Book Antiqua" w:cs="Times New Roman"/>
          <w:color w:val="000000"/>
          <w:sz w:val="21"/>
          <w:szCs w:val="21"/>
        </w:rPr>
        <w:t>ies</w:t>
      </w:r>
      <w:r w:rsidR="00982875" w:rsidRPr="00FD5324">
        <w:rPr>
          <w:rFonts w:ascii="Book Antiqua" w:hAnsi="Book Antiqua" w:cs="Times New Roman"/>
          <w:color w:val="000000"/>
          <w:sz w:val="21"/>
          <w:szCs w:val="21"/>
        </w:rPr>
        <w:t xml:space="preserve">. Prioritize and emphasize adherence to these policies. </w:t>
      </w:r>
    </w:p>
    <w:p w14:paraId="7AF70545" w14:textId="77777777"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71921B61" w14:textId="4AC5F2DB" w:rsidR="00094314"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Approve (</w:t>
      </w:r>
      <w:proofErr w:type="spellStart"/>
      <w:r w:rsidRPr="00FD5324">
        <w:rPr>
          <w:rFonts w:ascii="Book Antiqua" w:eastAsia="Times New Roman" w:hAnsi="Book Antiqua" w:cs="Times New Roman"/>
          <w:sz w:val="21"/>
          <w:szCs w:val="21"/>
        </w:rPr>
        <w:t>i</w:t>
      </w:r>
      <w:proofErr w:type="spellEnd"/>
      <w:r w:rsidRPr="00FD5324">
        <w:rPr>
          <w:rFonts w:ascii="Book Antiqua" w:eastAsia="Times New Roman" w:hAnsi="Book Antiqua" w:cs="Times New Roman"/>
          <w:sz w:val="21"/>
          <w:szCs w:val="21"/>
        </w:rPr>
        <w:t>)</w:t>
      </w:r>
      <w:r w:rsidR="003A26F6" w:rsidRPr="00FD5324">
        <w:rPr>
          <w:rFonts w:ascii="Book Antiqua" w:eastAsia="Times New Roman" w:hAnsi="Book Antiqua" w:cs="Times New Roman"/>
          <w:sz w:val="21"/>
          <w:szCs w:val="21"/>
        </w:rPr>
        <w:t xml:space="preserve"> the</w:t>
      </w:r>
      <w:r w:rsidRPr="00FD5324">
        <w:rPr>
          <w:rFonts w:ascii="Book Antiqua" w:eastAsia="Times New Roman" w:hAnsi="Book Antiqua" w:cs="Times New Roman"/>
          <w:sz w:val="21"/>
          <w:szCs w:val="21"/>
        </w:rPr>
        <w:t xml:space="preserve"> adoption of, and any material revisions to, plans intended to meet the requirements of Section 401(a) or Section 423 of the Internal Revenue Code</w:t>
      </w:r>
      <w:r w:rsidR="003A26F6" w:rsidRPr="00FD5324">
        <w:rPr>
          <w:rFonts w:ascii="Book Antiqua" w:eastAsia="Times New Roman" w:hAnsi="Book Antiqua" w:cs="Times New Roman"/>
          <w:sz w:val="21"/>
          <w:szCs w:val="21"/>
        </w:rPr>
        <w:t xml:space="preserve"> of 1986, as amended,</w:t>
      </w:r>
      <w:r w:rsidRPr="00FD5324">
        <w:rPr>
          <w:rFonts w:ascii="Book Antiqua" w:eastAsia="Times New Roman" w:hAnsi="Book Antiqua" w:cs="Times New Roman"/>
          <w:sz w:val="21"/>
          <w:szCs w:val="21"/>
        </w:rPr>
        <w:t xml:space="preserve"> or the requirements for a “parallel excess plan” contained in Section 303A.08 of the NYSE’s Listed Company Manual, (ii) grants and/or awards of equity-based compensation under an</w:t>
      </w:r>
      <w:r w:rsidR="00A9797F" w:rsidRPr="00FD5324">
        <w:rPr>
          <w:rFonts w:ascii="Book Antiqua" w:eastAsia="Times New Roman" w:hAnsi="Book Antiqua" w:cs="Times New Roman"/>
          <w:sz w:val="21"/>
          <w:szCs w:val="21"/>
        </w:rPr>
        <w:t xml:space="preserve">y </w:t>
      </w:r>
      <w:r w:rsidRPr="00FD5324">
        <w:rPr>
          <w:rFonts w:ascii="Book Antiqua" w:eastAsia="Times New Roman" w:hAnsi="Book Antiqua" w:cs="Times New Roman"/>
          <w:sz w:val="21"/>
          <w:szCs w:val="21"/>
        </w:rPr>
        <w:t>pla</w:t>
      </w:r>
      <w:r w:rsidR="00A9797F" w:rsidRPr="00FD5324">
        <w:rPr>
          <w:rFonts w:ascii="Book Antiqua" w:eastAsia="Times New Roman" w:hAnsi="Book Antiqua" w:cs="Times New Roman"/>
          <w:sz w:val="21"/>
          <w:szCs w:val="21"/>
        </w:rPr>
        <w:t xml:space="preserve">ns </w:t>
      </w:r>
      <w:r w:rsidRPr="00FD5324">
        <w:rPr>
          <w:rFonts w:ascii="Book Antiqua" w:eastAsia="Times New Roman" w:hAnsi="Book Antiqua" w:cs="Times New Roman"/>
          <w:sz w:val="21"/>
          <w:szCs w:val="21"/>
        </w:rPr>
        <w:t>acquire</w:t>
      </w:r>
      <w:r w:rsidR="00A9797F" w:rsidRPr="00FD5324">
        <w:rPr>
          <w:rFonts w:ascii="Book Antiqua" w:eastAsia="Times New Roman" w:hAnsi="Book Antiqua" w:cs="Times New Roman"/>
          <w:sz w:val="21"/>
          <w:szCs w:val="21"/>
        </w:rPr>
        <w:t>d in</w:t>
      </w:r>
      <w:r w:rsidRPr="00FD5324">
        <w:rPr>
          <w:rFonts w:ascii="Book Antiqua" w:eastAsia="Times New Roman" w:hAnsi="Book Antiqua" w:cs="Times New Roman"/>
          <w:sz w:val="21"/>
          <w:szCs w:val="21"/>
        </w:rPr>
        <w:t xml:space="preserve"> corporat</w:t>
      </w:r>
      <w:r w:rsidR="00A9797F" w:rsidRPr="00FD5324">
        <w:rPr>
          <w:rFonts w:ascii="Book Antiqua" w:eastAsia="Times New Roman" w:hAnsi="Book Antiqua" w:cs="Times New Roman"/>
          <w:sz w:val="21"/>
          <w:szCs w:val="21"/>
        </w:rPr>
        <w:t>e</w:t>
      </w:r>
      <w:r w:rsidRPr="00FD5324">
        <w:rPr>
          <w:rFonts w:ascii="Book Antiqua" w:eastAsia="Times New Roman" w:hAnsi="Book Antiqua" w:cs="Times New Roman"/>
          <w:sz w:val="21"/>
          <w:szCs w:val="21"/>
        </w:rPr>
        <w:t xml:space="preserve"> acquisiti</w:t>
      </w:r>
      <w:r w:rsidR="00A9797F" w:rsidRPr="00FD5324">
        <w:rPr>
          <w:rFonts w:ascii="Book Antiqua" w:eastAsia="Times New Roman" w:hAnsi="Book Antiqua" w:cs="Times New Roman"/>
          <w:sz w:val="21"/>
          <w:szCs w:val="21"/>
        </w:rPr>
        <w:t xml:space="preserve">ons or </w:t>
      </w:r>
      <w:r w:rsidRPr="00FD5324">
        <w:rPr>
          <w:rFonts w:ascii="Book Antiqua" w:eastAsia="Times New Roman" w:hAnsi="Book Antiqua" w:cs="Times New Roman"/>
          <w:sz w:val="21"/>
          <w:szCs w:val="21"/>
        </w:rPr>
        <w:t>merge</w:t>
      </w:r>
      <w:r w:rsidR="00A9797F" w:rsidRPr="00FD5324">
        <w:rPr>
          <w:rFonts w:ascii="Book Antiqua" w:eastAsia="Times New Roman" w:hAnsi="Book Antiqua" w:cs="Times New Roman"/>
          <w:sz w:val="21"/>
          <w:szCs w:val="21"/>
        </w:rPr>
        <w:t xml:space="preserve">rs </w:t>
      </w:r>
      <w:r w:rsidRPr="00FD5324">
        <w:rPr>
          <w:rFonts w:ascii="Book Antiqua" w:eastAsia="Times New Roman" w:hAnsi="Book Antiqua" w:cs="Times New Roman"/>
          <w:sz w:val="21"/>
          <w:szCs w:val="21"/>
        </w:rPr>
        <w:t>a</w:t>
      </w:r>
      <w:r w:rsidR="00A9797F" w:rsidRPr="00FD5324">
        <w:rPr>
          <w:rFonts w:ascii="Book Antiqua" w:eastAsia="Times New Roman" w:hAnsi="Book Antiqua" w:cs="Times New Roman"/>
          <w:sz w:val="21"/>
          <w:szCs w:val="21"/>
        </w:rPr>
        <w:t xml:space="preserve">nd </w:t>
      </w:r>
      <w:r w:rsidRPr="00FD5324">
        <w:rPr>
          <w:rFonts w:ascii="Book Antiqua" w:eastAsia="Times New Roman" w:hAnsi="Book Antiqua" w:cs="Times New Roman"/>
          <w:sz w:val="21"/>
          <w:szCs w:val="21"/>
        </w:rPr>
        <w:t>an</w:t>
      </w:r>
      <w:r w:rsidR="00A9797F" w:rsidRPr="00FD5324">
        <w:rPr>
          <w:rFonts w:ascii="Book Antiqua" w:eastAsia="Times New Roman" w:hAnsi="Book Antiqua" w:cs="Times New Roman"/>
          <w:sz w:val="21"/>
          <w:szCs w:val="21"/>
        </w:rPr>
        <w:t xml:space="preserve">y </w:t>
      </w:r>
      <w:r w:rsidRPr="00FD5324">
        <w:rPr>
          <w:rFonts w:ascii="Book Antiqua" w:eastAsia="Times New Roman" w:hAnsi="Book Antiqua" w:cs="Times New Roman"/>
          <w:sz w:val="21"/>
          <w:szCs w:val="21"/>
        </w:rPr>
        <w:t>conversions, replacements or adjustments of outstanding stock options or other equity-based compensation awards made to reflect an acquisition</w:t>
      </w:r>
      <w:r w:rsidR="003A26F6" w:rsidRPr="00FD5324">
        <w:rPr>
          <w:rFonts w:ascii="Book Antiqua" w:eastAsia="Times New Roman" w:hAnsi="Book Antiqua" w:cs="Times New Roman"/>
          <w:sz w:val="21"/>
          <w:szCs w:val="21"/>
        </w:rPr>
        <w:t>,</w:t>
      </w:r>
      <w:r w:rsidRPr="00FD5324">
        <w:rPr>
          <w:rFonts w:ascii="Book Antiqua" w:eastAsia="Times New Roman" w:hAnsi="Book Antiqua" w:cs="Times New Roman"/>
          <w:sz w:val="21"/>
          <w:szCs w:val="21"/>
        </w:rPr>
        <w:t xml:space="preserve"> a merger</w:t>
      </w:r>
      <w:r w:rsidR="003A26F6" w:rsidRPr="00FD5324">
        <w:rPr>
          <w:rFonts w:ascii="Book Antiqua" w:eastAsia="Times New Roman" w:hAnsi="Book Antiqua" w:cs="Times New Roman"/>
          <w:sz w:val="21"/>
          <w:szCs w:val="21"/>
        </w:rPr>
        <w:t xml:space="preserve"> or other corporate transaction,</w:t>
      </w:r>
      <w:r w:rsidRPr="00FD5324">
        <w:rPr>
          <w:rFonts w:ascii="Book Antiqua" w:eastAsia="Times New Roman" w:hAnsi="Book Antiqua" w:cs="Times New Roman"/>
          <w:sz w:val="21"/>
          <w:szCs w:val="21"/>
        </w:rPr>
        <w:t xml:space="preserve"> and (iii) any inducement grants of stock options or other equity-based compensation made to a person hired or rehired by the Company</w:t>
      </w:r>
      <w:r w:rsidR="00D9330D" w:rsidRPr="00FD5324">
        <w:rPr>
          <w:rFonts w:ascii="Book Antiqua" w:eastAsia="Times New Roman" w:hAnsi="Book Antiqua" w:cs="Times New Roman"/>
          <w:sz w:val="21"/>
          <w:szCs w:val="21"/>
        </w:rPr>
        <w:t xml:space="preserve"> in accordance with Section 303A of the NYSE’s Listed Company Manual</w:t>
      </w:r>
      <w:r w:rsidRPr="00FD5324">
        <w:rPr>
          <w:rFonts w:ascii="Book Antiqua" w:eastAsia="Times New Roman" w:hAnsi="Book Antiqua" w:cs="Times New Roman"/>
          <w:sz w:val="21"/>
          <w:szCs w:val="21"/>
        </w:rPr>
        <w:t>.</w:t>
      </w:r>
    </w:p>
    <w:p w14:paraId="0D314710" w14:textId="77777777"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367FD6CD" w14:textId="2702A270" w:rsidR="00407E00"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Review and approve, for the CEO and other executive officers of the Company, when and if appropriate, employment agreements, severance agreements</w:t>
      </w:r>
      <w:r w:rsidR="00407E00" w:rsidRPr="00FD5324">
        <w:rPr>
          <w:rFonts w:ascii="Book Antiqua" w:eastAsia="Times New Roman" w:hAnsi="Book Antiqua" w:cs="Times New Roman"/>
          <w:sz w:val="21"/>
          <w:szCs w:val="21"/>
        </w:rPr>
        <w:t>, consulting agreements</w:t>
      </w:r>
      <w:r w:rsidRPr="00FD5324">
        <w:rPr>
          <w:rFonts w:ascii="Book Antiqua" w:eastAsia="Times New Roman" w:hAnsi="Book Antiqua" w:cs="Times New Roman"/>
          <w:sz w:val="21"/>
          <w:szCs w:val="21"/>
        </w:rPr>
        <w:t xml:space="preserve"> and change in control</w:t>
      </w:r>
      <w:r w:rsidR="00407E00" w:rsidRPr="00FD5324">
        <w:rPr>
          <w:rFonts w:ascii="Book Antiqua" w:eastAsia="Times New Roman" w:hAnsi="Book Antiqua" w:cs="Times New Roman"/>
          <w:sz w:val="21"/>
          <w:szCs w:val="21"/>
        </w:rPr>
        <w:t xml:space="preserve"> or termination</w:t>
      </w:r>
      <w:r w:rsidRPr="00FD5324">
        <w:rPr>
          <w:rFonts w:ascii="Book Antiqua" w:eastAsia="Times New Roman" w:hAnsi="Book Antiqua" w:cs="Times New Roman"/>
          <w:sz w:val="21"/>
          <w:szCs w:val="21"/>
        </w:rPr>
        <w:t xml:space="preserve"> provisions/agreements</w:t>
      </w:r>
      <w:r w:rsidR="00D9330D" w:rsidRPr="00FD5324">
        <w:rPr>
          <w:rFonts w:ascii="Book Antiqua" w:eastAsia="Times New Roman" w:hAnsi="Book Antiqua" w:cs="Times New Roman"/>
          <w:sz w:val="21"/>
          <w:szCs w:val="21"/>
        </w:rPr>
        <w:t>/plans</w:t>
      </w:r>
      <w:r w:rsidRPr="00FD5324">
        <w:rPr>
          <w:rFonts w:ascii="Book Antiqua" w:eastAsia="Times New Roman" w:hAnsi="Book Antiqua" w:cs="Times New Roman"/>
          <w:sz w:val="21"/>
          <w:szCs w:val="21"/>
        </w:rPr>
        <w:t>.</w:t>
      </w:r>
    </w:p>
    <w:p w14:paraId="616053D5" w14:textId="77777777"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477CF8A8" w14:textId="2B1E653A" w:rsidR="00094314"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Review and discuss with management the compensation discussion and analysis required to be included in the Company’s annual report or proxy statement. Based on such review and discussion, the Committee shall make a recommendation to the Board as to whether such compensation discussion and analysis shall be included in such annual report or proxy statement and shall prepare the compensation committee report required to be included in such annual report or proxy statement.</w:t>
      </w:r>
    </w:p>
    <w:p w14:paraId="49CD9A5A" w14:textId="2CFADCD0" w:rsidR="00094314" w:rsidRPr="00FD5324" w:rsidRDefault="00094314" w:rsidP="00F839D7">
      <w:pPr>
        <w:tabs>
          <w:tab w:val="left" w:pos="720"/>
        </w:tabs>
        <w:spacing w:after="0" w:line="240" w:lineRule="auto"/>
        <w:ind w:left="720" w:right="-180"/>
        <w:jc w:val="both"/>
        <w:rPr>
          <w:rFonts w:ascii="Book Antiqua" w:eastAsia="Times New Roman" w:hAnsi="Book Antiqua" w:cs="Times New Roman"/>
          <w:sz w:val="21"/>
          <w:szCs w:val="21"/>
        </w:rPr>
      </w:pPr>
    </w:p>
    <w:p w14:paraId="6B37EAAD" w14:textId="2EF5D754" w:rsidR="00E2121E" w:rsidRPr="00FD5324" w:rsidRDefault="0070378A" w:rsidP="00E2121E">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 xml:space="preserve">Review the results of any advisory stockholder votes on executive compensation and consider </w:t>
      </w:r>
      <w:r w:rsidRPr="00FD5324">
        <w:rPr>
          <w:rFonts w:ascii="Book Antiqua" w:eastAsia="Times New Roman" w:hAnsi="Book Antiqua" w:cs="Times New Roman"/>
          <w:sz w:val="21"/>
          <w:szCs w:val="21"/>
        </w:rPr>
        <w:lastRenderedPageBreak/>
        <w:t xml:space="preserve">whether to recommend adjustments to the Company’s executive compensation policies and practices </w:t>
      </w:r>
      <w:proofErr w:type="gramStart"/>
      <w:r w:rsidRPr="00FD5324">
        <w:rPr>
          <w:rFonts w:ascii="Book Antiqua" w:eastAsia="Times New Roman" w:hAnsi="Book Antiqua" w:cs="Times New Roman"/>
          <w:sz w:val="21"/>
          <w:szCs w:val="21"/>
        </w:rPr>
        <w:t>as a result of</w:t>
      </w:r>
      <w:proofErr w:type="gramEnd"/>
      <w:r w:rsidRPr="00FD5324">
        <w:rPr>
          <w:rFonts w:ascii="Book Antiqua" w:eastAsia="Times New Roman" w:hAnsi="Book Antiqua" w:cs="Times New Roman"/>
          <w:sz w:val="21"/>
          <w:szCs w:val="21"/>
        </w:rPr>
        <w:t xml:space="preserve"> such votes.</w:t>
      </w:r>
      <w:r w:rsidR="001159D9" w:rsidRPr="00FD5324">
        <w:rPr>
          <w:rFonts w:ascii="Book Antiqua" w:eastAsia="Times New Roman" w:hAnsi="Book Antiqua" w:cs="Times New Roman"/>
          <w:sz w:val="21"/>
          <w:szCs w:val="21"/>
        </w:rPr>
        <w:t xml:space="preserve"> </w:t>
      </w:r>
      <w:r w:rsidR="00E2121E" w:rsidRPr="00FD5324">
        <w:rPr>
          <w:rFonts w:ascii="Book Antiqua" w:eastAsia="Times New Roman" w:hAnsi="Book Antiqua" w:cs="Times New Roman"/>
          <w:sz w:val="21"/>
          <w:szCs w:val="21"/>
        </w:rPr>
        <w:t>In addition, the Committee will review any other compensation-related stockholder proposals, the results of such proposals, and recommend to the Board how to respond to such results.</w:t>
      </w:r>
    </w:p>
    <w:p w14:paraId="01DB2752" w14:textId="77777777" w:rsidR="00094314" w:rsidRPr="00FD5324" w:rsidRDefault="00094314" w:rsidP="00942000">
      <w:pPr>
        <w:pStyle w:val="ListParagraph"/>
        <w:tabs>
          <w:tab w:val="left" w:pos="720"/>
        </w:tabs>
        <w:spacing w:after="0" w:line="240" w:lineRule="auto"/>
        <w:ind w:right="-180"/>
        <w:jc w:val="both"/>
        <w:rPr>
          <w:rFonts w:ascii="Book Antiqua" w:eastAsia="Times New Roman" w:hAnsi="Book Antiqua" w:cs="Times New Roman"/>
          <w:sz w:val="21"/>
          <w:szCs w:val="21"/>
        </w:rPr>
      </w:pPr>
    </w:p>
    <w:p w14:paraId="49D9109D" w14:textId="6ED45288" w:rsidR="00E2121E" w:rsidRPr="00FD5324" w:rsidRDefault="00E2121E"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 xml:space="preserve">Oversee and participate, as applicable, in engagement efforts with shareholders and proxy advisory firms.  </w:t>
      </w:r>
    </w:p>
    <w:p w14:paraId="0B4BDAF8" w14:textId="77777777" w:rsidR="00E2121E" w:rsidRPr="00FD5324" w:rsidRDefault="00E2121E" w:rsidP="00942000">
      <w:pPr>
        <w:pStyle w:val="ListParagraph"/>
        <w:tabs>
          <w:tab w:val="left" w:pos="720"/>
        </w:tabs>
        <w:spacing w:after="0" w:line="240" w:lineRule="auto"/>
        <w:ind w:right="-180"/>
        <w:jc w:val="both"/>
        <w:rPr>
          <w:rFonts w:ascii="Book Antiqua" w:eastAsia="Times New Roman" w:hAnsi="Book Antiqua" w:cs="Times New Roman"/>
          <w:sz w:val="21"/>
          <w:szCs w:val="21"/>
        </w:rPr>
      </w:pPr>
    </w:p>
    <w:p w14:paraId="4F80335B" w14:textId="6213E7A4" w:rsidR="00094314"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Develop and implement policies with respect to the recovery or “clawback” of any excess compensation (including stock options) paid to any of the Company’s executive officers</w:t>
      </w:r>
      <w:r w:rsidR="008D744A" w:rsidRPr="00FD5324">
        <w:rPr>
          <w:rFonts w:ascii="Book Antiqua" w:eastAsia="Times New Roman" w:hAnsi="Book Antiqua" w:cs="Times New Roman"/>
          <w:sz w:val="21"/>
          <w:szCs w:val="21"/>
        </w:rPr>
        <w:t xml:space="preserve"> </w:t>
      </w:r>
      <w:r w:rsidR="001159D9" w:rsidRPr="00FD5324">
        <w:rPr>
          <w:rFonts w:ascii="Book Antiqua" w:eastAsia="Times New Roman" w:hAnsi="Book Antiqua" w:cs="Times New Roman"/>
          <w:sz w:val="21"/>
          <w:szCs w:val="21"/>
        </w:rPr>
        <w:t>in accordance with the terms of any clawback or recoupment policy adopted by the Company</w:t>
      </w:r>
      <w:r w:rsidR="00D9330D" w:rsidRPr="00FD5324">
        <w:rPr>
          <w:rFonts w:ascii="Book Antiqua" w:eastAsia="Times New Roman" w:hAnsi="Book Antiqua" w:cs="Times New Roman"/>
          <w:sz w:val="21"/>
          <w:szCs w:val="21"/>
        </w:rPr>
        <w:t xml:space="preserve"> </w:t>
      </w:r>
      <w:r w:rsidRPr="00FD5324">
        <w:rPr>
          <w:rFonts w:ascii="Book Antiqua" w:eastAsia="Times New Roman" w:hAnsi="Book Antiqua" w:cs="Times New Roman"/>
          <w:sz w:val="21"/>
          <w:szCs w:val="21"/>
        </w:rPr>
        <w:t>based on erroneous data.</w:t>
      </w:r>
    </w:p>
    <w:p w14:paraId="4EBFFB3C" w14:textId="654D5DE2" w:rsidR="00631654" w:rsidRPr="00FD5324" w:rsidRDefault="00631654" w:rsidP="00F839D7">
      <w:pPr>
        <w:tabs>
          <w:tab w:val="left" w:pos="720"/>
        </w:tabs>
        <w:spacing w:after="0" w:line="240" w:lineRule="auto"/>
        <w:ind w:left="720" w:right="-180"/>
        <w:jc w:val="both"/>
        <w:rPr>
          <w:rFonts w:ascii="Book Antiqua" w:eastAsia="Times New Roman" w:hAnsi="Book Antiqua" w:cs="Times New Roman"/>
          <w:sz w:val="21"/>
          <w:szCs w:val="21"/>
        </w:rPr>
      </w:pPr>
    </w:p>
    <w:p w14:paraId="36160956" w14:textId="78386700" w:rsidR="00094314" w:rsidRPr="00FD5324" w:rsidRDefault="009A213D"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Determine and m</w:t>
      </w:r>
      <w:r w:rsidR="0070378A" w:rsidRPr="00FD5324">
        <w:rPr>
          <w:rFonts w:ascii="Book Antiqua" w:eastAsia="Times New Roman" w:hAnsi="Book Antiqua" w:cs="Times New Roman"/>
          <w:sz w:val="21"/>
          <w:szCs w:val="21"/>
        </w:rPr>
        <w:t>onitor compliance with stock ownership guidelines for the CEO and other executive officers of the Company.</w:t>
      </w:r>
    </w:p>
    <w:p w14:paraId="0670E83C" w14:textId="77777777" w:rsidR="00094314" w:rsidRPr="00FD5324" w:rsidRDefault="00094314" w:rsidP="00F839D7">
      <w:pPr>
        <w:tabs>
          <w:tab w:val="left" w:pos="720"/>
        </w:tabs>
        <w:spacing w:after="0" w:line="240" w:lineRule="auto"/>
        <w:ind w:left="720" w:right="-180"/>
        <w:jc w:val="both"/>
        <w:rPr>
          <w:rFonts w:ascii="Book Antiqua" w:eastAsia="Times New Roman" w:hAnsi="Book Antiqua" w:cs="Times New Roman"/>
          <w:sz w:val="21"/>
          <w:szCs w:val="21"/>
        </w:rPr>
      </w:pPr>
    </w:p>
    <w:p w14:paraId="3489FDEB" w14:textId="1A4CDFD2" w:rsidR="00094314" w:rsidRPr="00FD5324" w:rsidRDefault="00D9330D"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Annually r</w:t>
      </w:r>
      <w:r w:rsidR="0070378A" w:rsidRPr="00FD5324">
        <w:rPr>
          <w:rFonts w:ascii="Book Antiqua" w:eastAsia="Times New Roman" w:hAnsi="Book Antiqua" w:cs="Times New Roman"/>
          <w:sz w:val="21"/>
          <w:szCs w:val="21"/>
        </w:rPr>
        <w:t>eview and reassess the adequacy of this Charter and recommend any proposed changes to the Board for approval.</w:t>
      </w:r>
    </w:p>
    <w:p w14:paraId="2CDEFC16" w14:textId="77777777"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0179980F" w14:textId="2F251198" w:rsidR="00094314" w:rsidRPr="00FD5324" w:rsidRDefault="007212F3" w:rsidP="00942000">
      <w:pPr>
        <w:pStyle w:val="ListParagraph"/>
        <w:numPr>
          <w:ilvl w:val="0"/>
          <w:numId w:val="1"/>
        </w:numPr>
        <w:tabs>
          <w:tab w:val="left" w:pos="720"/>
        </w:tabs>
        <w:spacing w:after="0" w:line="240" w:lineRule="auto"/>
        <w:ind w:right="-180"/>
        <w:rPr>
          <w:rFonts w:ascii="Book Antiqua" w:eastAsia="Times New Roman" w:hAnsi="Book Antiqua" w:cs="Times New Roman"/>
          <w:sz w:val="21"/>
          <w:szCs w:val="21"/>
        </w:rPr>
      </w:pPr>
      <w:r w:rsidRPr="00FD5324">
        <w:rPr>
          <w:rFonts w:ascii="Book Antiqua" w:eastAsia="Times New Roman" w:hAnsi="Book Antiqua" w:cs="Times New Roman"/>
          <w:sz w:val="21"/>
          <w:szCs w:val="21"/>
        </w:rPr>
        <w:t xml:space="preserve">In </w:t>
      </w:r>
      <w:r w:rsidR="006B7D58" w:rsidRPr="00FD5324">
        <w:rPr>
          <w:rFonts w:ascii="Book Antiqua" w:eastAsia="Times New Roman" w:hAnsi="Book Antiqua" w:cs="Times New Roman"/>
          <w:sz w:val="21"/>
          <w:szCs w:val="21"/>
        </w:rPr>
        <w:t>consultation with the Nominating and Corporate Governance Committee, c</w:t>
      </w:r>
      <w:r w:rsidR="0070378A" w:rsidRPr="00FD5324">
        <w:rPr>
          <w:rFonts w:ascii="Book Antiqua" w:eastAsia="Times New Roman" w:hAnsi="Book Antiqua" w:cs="Times New Roman"/>
          <w:sz w:val="21"/>
          <w:szCs w:val="21"/>
        </w:rPr>
        <w:t>onduct an annual performance evaluation of the Committee</w:t>
      </w:r>
      <w:r w:rsidR="009A213D" w:rsidRPr="00FD5324">
        <w:rPr>
          <w:rFonts w:ascii="Book Antiqua" w:eastAsia="Times New Roman" w:hAnsi="Book Antiqua" w:cs="Times New Roman"/>
          <w:sz w:val="21"/>
          <w:szCs w:val="21"/>
        </w:rPr>
        <w:t xml:space="preserve"> and its members, including a review of adherence to this Charter.</w:t>
      </w:r>
    </w:p>
    <w:p w14:paraId="30CB368A" w14:textId="77777777"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7EF823B9" w14:textId="5D82E2A7" w:rsidR="00094314"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Report to the Board on a regular basis and make such recommendations with respect to any of the above and other matters as the Committee deems necessary or appropriate.</w:t>
      </w:r>
    </w:p>
    <w:p w14:paraId="107F6283" w14:textId="77777777" w:rsidR="00094314" w:rsidRPr="00FD5324" w:rsidRDefault="00094314" w:rsidP="00F839D7">
      <w:pPr>
        <w:tabs>
          <w:tab w:val="left" w:pos="720"/>
        </w:tabs>
        <w:spacing w:after="0" w:line="240" w:lineRule="auto"/>
        <w:ind w:left="720" w:right="-180"/>
        <w:rPr>
          <w:rFonts w:ascii="Book Antiqua" w:hAnsi="Book Antiqua" w:cs="Times New Roman"/>
          <w:sz w:val="21"/>
          <w:szCs w:val="21"/>
        </w:rPr>
      </w:pPr>
    </w:p>
    <w:p w14:paraId="01F305D9" w14:textId="439A698F" w:rsidR="00094314" w:rsidRPr="00FD5324" w:rsidRDefault="0070378A" w:rsidP="00942000">
      <w:pPr>
        <w:pStyle w:val="ListParagraph"/>
        <w:numPr>
          <w:ilvl w:val="0"/>
          <w:numId w:val="1"/>
        </w:numPr>
        <w:tabs>
          <w:tab w:val="left" w:pos="720"/>
        </w:tabs>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Perform such othe</w:t>
      </w:r>
      <w:r w:rsidR="00A9797F" w:rsidRPr="00FD5324">
        <w:rPr>
          <w:rFonts w:ascii="Book Antiqua" w:eastAsia="Times New Roman" w:hAnsi="Book Antiqua" w:cs="Times New Roman"/>
          <w:sz w:val="21"/>
          <w:szCs w:val="21"/>
        </w:rPr>
        <w:t>r</w:t>
      </w:r>
      <w:r w:rsidRPr="00FD5324">
        <w:rPr>
          <w:rFonts w:ascii="Book Antiqua" w:eastAsia="Times New Roman" w:hAnsi="Book Antiqua" w:cs="Times New Roman"/>
          <w:sz w:val="21"/>
          <w:szCs w:val="21"/>
        </w:rPr>
        <w:t xml:space="preserve"> dutie</w:t>
      </w:r>
      <w:r w:rsidR="00A9797F" w:rsidRPr="00FD5324">
        <w:rPr>
          <w:rFonts w:ascii="Book Antiqua" w:eastAsia="Times New Roman" w:hAnsi="Book Antiqua" w:cs="Times New Roman"/>
          <w:sz w:val="21"/>
          <w:szCs w:val="21"/>
        </w:rPr>
        <w:t>s</w:t>
      </w:r>
      <w:r w:rsidRPr="00FD5324">
        <w:rPr>
          <w:rFonts w:ascii="Book Antiqua" w:eastAsia="Times New Roman" w:hAnsi="Book Antiqua" w:cs="Times New Roman"/>
          <w:sz w:val="21"/>
          <w:szCs w:val="21"/>
        </w:rPr>
        <w:t xml:space="preserve"> and responsibilities, consistent with this Charter, the Company’s </w:t>
      </w:r>
      <w:r w:rsidR="00CD1A6B" w:rsidRPr="00FD5324">
        <w:rPr>
          <w:rFonts w:ascii="Book Antiqua" w:eastAsia="Times New Roman" w:hAnsi="Book Antiqua" w:cs="Times New Roman"/>
          <w:sz w:val="21"/>
          <w:szCs w:val="21"/>
        </w:rPr>
        <w:t>b</w:t>
      </w:r>
      <w:r w:rsidRPr="00FD5324">
        <w:rPr>
          <w:rFonts w:ascii="Book Antiqua" w:eastAsia="Times New Roman" w:hAnsi="Book Antiqua" w:cs="Times New Roman"/>
          <w:sz w:val="21"/>
          <w:szCs w:val="21"/>
        </w:rPr>
        <w:t>ylaws, and applicable laws, rules and regulations</w:t>
      </w:r>
      <w:r w:rsidR="009A213D" w:rsidRPr="00FD5324">
        <w:rPr>
          <w:rFonts w:ascii="Book Antiqua" w:eastAsia="Times New Roman" w:hAnsi="Book Antiqua" w:cs="Times New Roman"/>
          <w:sz w:val="21"/>
          <w:szCs w:val="21"/>
        </w:rPr>
        <w:t xml:space="preserve"> and such other requirements applicable to the Company,</w:t>
      </w:r>
      <w:r w:rsidRPr="00FD5324">
        <w:rPr>
          <w:rFonts w:ascii="Book Antiqua" w:eastAsia="Times New Roman" w:hAnsi="Book Antiqua" w:cs="Times New Roman"/>
          <w:sz w:val="21"/>
          <w:szCs w:val="21"/>
        </w:rPr>
        <w:t xml:space="preserve"> delegated to the Committee by the Board or required under the provisions of any compensation or benefit plan maintained by the Company.</w:t>
      </w:r>
    </w:p>
    <w:p w14:paraId="63340988" w14:textId="77777777" w:rsidR="00094314" w:rsidRPr="00FD5324" w:rsidRDefault="00094314" w:rsidP="00F839D7">
      <w:pPr>
        <w:spacing w:after="0" w:line="240" w:lineRule="auto"/>
        <w:ind w:right="-180"/>
        <w:jc w:val="both"/>
        <w:rPr>
          <w:rFonts w:ascii="Book Antiqua" w:hAnsi="Book Antiqua" w:cs="Times New Roman"/>
          <w:sz w:val="21"/>
          <w:szCs w:val="21"/>
        </w:rPr>
      </w:pPr>
    </w:p>
    <w:p w14:paraId="5E5E8CFC" w14:textId="77777777" w:rsidR="00094314" w:rsidRPr="00FD5324" w:rsidRDefault="0070378A" w:rsidP="00F839D7">
      <w:pPr>
        <w:spacing w:after="0" w:line="240" w:lineRule="auto"/>
        <w:ind w:right="-180"/>
        <w:rPr>
          <w:rFonts w:ascii="Book Antiqua" w:eastAsia="Times New Roman" w:hAnsi="Book Antiqua" w:cs="Times New Roman"/>
          <w:sz w:val="21"/>
          <w:szCs w:val="21"/>
          <w:u w:val="single"/>
        </w:rPr>
      </w:pPr>
      <w:r w:rsidRPr="00FD5324">
        <w:rPr>
          <w:rFonts w:ascii="Book Antiqua" w:eastAsia="Times New Roman" w:hAnsi="Book Antiqua" w:cs="Times New Roman"/>
          <w:bCs/>
          <w:sz w:val="21"/>
          <w:szCs w:val="21"/>
          <w:u w:val="single"/>
        </w:rPr>
        <w:t>Powers of the Committee</w:t>
      </w:r>
    </w:p>
    <w:p w14:paraId="6C538393" w14:textId="77777777" w:rsidR="00094314" w:rsidRPr="00FD5324" w:rsidRDefault="00094314" w:rsidP="00F839D7">
      <w:pPr>
        <w:spacing w:after="0" w:line="240" w:lineRule="auto"/>
        <w:ind w:right="-180"/>
        <w:rPr>
          <w:rFonts w:ascii="Book Antiqua" w:hAnsi="Book Antiqua" w:cs="Times New Roman"/>
          <w:sz w:val="21"/>
          <w:szCs w:val="21"/>
        </w:rPr>
      </w:pPr>
    </w:p>
    <w:p w14:paraId="5AEB8B0C" w14:textId="77777777" w:rsidR="00094314" w:rsidRPr="00FD5324" w:rsidRDefault="0070378A" w:rsidP="00F839D7">
      <w:pPr>
        <w:spacing w:after="0" w:line="240" w:lineRule="auto"/>
        <w:ind w:right="-180"/>
        <w:jc w:val="both"/>
        <w:rPr>
          <w:rFonts w:ascii="Book Antiqua" w:eastAsia="Times New Roman" w:hAnsi="Book Antiqua" w:cs="Times New Roman"/>
          <w:sz w:val="21"/>
          <w:szCs w:val="21"/>
        </w:rPr>
      </w:pPr>
      <w:r w:rsidRPr="00FD5324">
        <w:rPr>
          <w:rFonts w:ascii="Book Antiqua" w:eastAsia="Times New Roman" w:hAnsi="Book Antiqua" w:cs="Times New Roman"/>
          <w:sz w:val="21"/>
          <w:szCs w:val="21"/>
        </w:rPr>
        <w:t>The Committee shall have all of the powers of the Board that are necessary or appropriate for the Committee to fulfill its purposes, engage external advisers and carry out its duties and responsibilities as set forth in this Charter.</w:t>
      </w:r>
    </w:p>
    <w:sectPr w:rsidR="00094314" w:rsidRPr="00FD5324" w:rsidSect="00F430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1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447DA" w14:textId="77777777" w:rsidR="00A5146A" w:rsidRDefault="00A5146A">
      <w:pPr>
        <w:spacing w:after="0" w:line="240" w:lineRule="auto"/>
      </w:pPr>
      <w:r>
        <w:separator/>
      </w:r>
    </w:p>
  </w:endnote>
  <w:endnote w:type="continuationSeparator" w:id="0">
    <w:p w14:paraId="15A0AF3C" w14:textId="77777777" w:rsidR="00A5146A" w:rsidRDefault="00A5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F7889" w14:textId="77777777" w:rsidR="00D378B5" w:rsidRDefault="00D37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F2FC" w14:textId="77777777" w:rsidR="00D378B5" w:rsidRDefault="00D37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14D8" w14:textId="77777777" w:rsidR="00D378B5" w:rsidRDefault="00D37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BF8C4" w14:textId="77777777" w:rsidR="00A5146A" w:rsidRDefault="00A5146A">
      <w:pPr>
        <w:spacing w:after="0" w:line="240" w:lineRule="auto"/>
      </w:pPr>
      <w:r>
        <w:separator/>
      </w:r>
    </w:p>
  </w:footnote>
  <w:footnote w:type="continuationSeparator" w:id="0">
    <w:p w14:paraId="176A4F68" w14:textId="77777777" w:rsidR="00A5146A" w:rsidRDefault="00A51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1D586" w14:textId="77777777" w:rsidR="00D378B5" w:rsidRDefault="00D37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19E7" w14:textId="77777777" w:rsidR="00094314" w:rsidRDefault="00094314">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C966" w14:textId="77777777" w:rsidR="00D378B5" w:rsidRDefault="00D37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5405D"/>
    <w:multiLevelType w:val="hybridMultilevel"/>
    <w:tmpl w:val="C75E0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6018FF"/>
    <w:multiLevelType w:val="hybridMultilevel"/>
    <w:tmpl w:val="555AE7A0"/>
    <w:lvl w:ilvl="0" w:tplc="2F60E8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doNotDisplayPageBoundaries/>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314"/>
    <w:rsid w:val="00087A52"/>
    <w:rsid w:val="00094314"/>
    <w:rsid w:val="000E7ACC"/>
    <w:rsid w:val="001159D9"/>
    <w:rsid w:val="00135CFD"/>
    <w:rsid w:val="001655B4"/>
    <w:rsid w:val="001A1756"/>
    <w:rsid w:val="001A72F2"/>
    <w:rsid w:val="001D355C"/>
    <w:rsid w:val="001E29A0"/>
    <w:rsid w:val="002251DA"/>
    <w:rsid w:val="00235B6F"/>
    <w:rsid w:val="002414F7"/>
    <w:rsid w:val="00255286"/>
    <w:rsid w:val="00280E30"/>
    <w:rsid w:val="002C3CDD"/>
    <w:rsid w:val="002D398B"/>
    <w:rsid w:val="00303857"/>
    <w:rsid w:val="00326E2D"/>
    <w:rsid w:val="00356B01"/>
    <w:rsid w:val="00395E59"/>
    <w:rsid w:val="003A1982"/>
    <w:rsid w:val="003A26F6"/>
    <w:rsid w:val="00407E00"/>
    <w:rsid w:val="0041433F"/>
    <w:rsid w:val="00417703"/>
    <w:rsid w:val="00450CB3"/>
    <w:rsid w:val="00465043"/>
    <w:rsid w:val="004F3DB6"/>
    <w:rsid w:val="00521B0D"/>
    <w:rsid w:val="00532785"/>
    <w:rsid w:val="005338BE"/>
    <w:rsid w:val="0059099D"/>
    <w:rsid w:val="005964B0"/>
    <w:rsid w:val="005A52F0"/>
    <w:rsid w:val="005D54D4"/>
    <w:rsid w:val="00631654"/>
    <w:rsid w:val="006355AA"/>
    <w:rsid w:val="0065233D"/>
    <w:rsid w:val="006A7DDF"/>
    <w:rsid w:val="006B7D58"/>
    <w:rsid w:val="0070378A"/>
    <w:rsid w:val="007212F3"/>
    <w:rsid w:val="00751962"/>
    <w:rsid w:val="0076641C"/>
    <w:rsid w:val="007A0BD9"/>
    <w:rsid w:val="007A4D64"/>
    <w:rsid w:val="00865AE0"/>
    <w:rsid w:val="00897533"/>
    <w:rsid w:val="008D744A"/>
    <w:rsid w:val="00902E68"/>
    <w:rsid w:val="00942000"/>
    <w:rsid w:val="00964AEE"/>
    <w:rsid w:val="00971226"/>
    <w:rsid w:val="00982875"/>
    <w:rsid w:val="009966BB"/>
    <w:rsid w:val="009A213D"/>
    <w:rsid w:val="009B6817"/>
    <w:rsid w:val="009D2C14"/>
    <w:rsid w:val="009D4190"/>
    <w:rsid w:val="00A003E7"/>
    <w:rsid w:val="00A01292"/>
    <w:rsid w:val="00A36FF0"/>
    <w:rsid w:val="00A5146A"/>
    <w:rsid w:val="00A57D21"/>
    <w:rsid w:val="00A9797F"/>
    <w:rsid w:val="00AC46B7"/>
    <w:rsid w:val="00AD627F"/>
    <w:rsid w:val="00B16BB0"/>
    <w:rsid w:val="00B27981"/>
    <w:rsid w:val="00B352C7"/>
    <w:rsid w:val="00B8408D"/>
    <w:rsid w:val="00BD51C3"/>
    <w:rsid w:val="00BD5E9B"/>
    <w:rsid w:val="00BE1374"/>
    <w:rsid w:val="00C51462"/>
    <w:rsid w:val="00C5730A"/>
    <w:rsid w:val="00CC0A0A"/>
    <w:rsid w:val="00CD1A6B"/>
    <w:rsid w:val="00CE2DC0"/>
    <w:rsid w:val="00D13F21"/>
    <w:rsid w:val="00D175E5"/>
    <w:rsid w:val="00D378B5"/>
    <w:rsid w:val="00D67FC6"/>
    <w:rsid w:val="00D7504D"/>
    <w:rsid w:val="00D9330D"/>
    <w:rsid w:val="00DD41DE"/>
    <w:rsid w:val="00DE6C6A"/>
    <w:rsid w:val="00E20CFA"/>
    <w:rsid w:val="00E2121E"/>
    <w:rsid w:val="00E254D5"/>
    <w:rsid w:val="00E377BE"/>
    <w:rsid w:val="00E843A7"/>
    <w:rsid w:val="00EF7522"/>
    <w:rsid w:val="00F067AE"/>
    <w:rsid w:val="00F14041"/>
    <w:rsid w:val="00F15257"/>
    <w:rsid w:val="00F43002"/>
    <w:rsid w:val="00F479E1"/>
    <w:rsid w:val="00F51772"/>
    <w:rsid w:val="00F51DEB"/>
    <w:rsid w:val="00F554A9"/>
    <w:rsid w:val="00F6360D"/>
    <w:rsid w:val="00F7190B"/>
    <w:rsid w:val="00F839D7"/>
    <w:rsid w:val="00F919EB"/>
    <w:rsid w:val="00FD4CD1"/>
    <w:rsid w:val="00FD5324"/>
    <w:rsid w:val="00FE403C"/>
    <w:rsid w:val="00FF65FA"/>
    <w:rsid w:val="00FF7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204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DocID">
    <w:name w:val="DocID"/>
    <w:basedOn w:val="DefaultParagraphFont"/>
    <w:rPr>
      <w:rFonts w:ascii="Times New Roman" w:eastAsia="Times New Roman" w:hAnsi="Times New Roman" w:cs="Times New Roman"/>
      <w:b w:val="0"/>
      <w:bCs/>
      <w:i w:val="0"/>
      <w:caps w:val="0"/>
      <w:vanish w:val="0"/>
      <w:color w:val="000000"/>
      <w:sz w:val="14"/>
      <w:szCs w:val="24"/>
      <w:u w:val="none"/>
    </w:rPr>
  </w:style>
  <w:style w:type="paragraph" w:customStyle="1" w:styleId="Default">
    <w:name w:val="Default"/>
    <w:rsid w:val="00631654"/>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36FF0"/>
    <w:pPr>
      <w:ind w:left="720"/>
      <w:contextualSpacing/>
    </w:pPr>
  </w:style>
  <w:style w:type="character" w:styleId="CommentReference">
    <w:name w:val="annotation reference"/>
    <w:basedOn w:val="DefaultParagraphFont"/>
    <w:uiPriority w:val="99"/>
    <w:semiHidden/>
    <w:unhideWhenUsed/>
    <w:rsid w:val="00A36FF0"/>
    <w:rPr>
      <w:sz w:val="16"/>
      <w:szCs w:val="16"/>
    </w:rPr>
  </w:style>
  <w:style w:type="paragraph" w:styleId="CommentText">
    <w:name w:val="annotation text"/>
    <w:basedOn w:val="Normal"/>
    <w:link w:val="CommentTextChar"/>
    <w:uiPriority w:val="99"/>
    <w:semiHidden/>
    <w:unhideWhenUsed/>
    <w:rsid w:val="00A36FF0"/>
    <w:pPr>
      <w:spacing w:line="240" w:lineRule="auto"/>
    </w:pPr>
    <w:rPr>
      <w:sz w:val="20"/>
      <w:szCs w:val="20"/>
    </w:rPr>
  </w:style>
  <w:style w:type="character" w:customStyle="1" w:styleId="CommentTextChar">
    <w:name w:val="Comment Text Char"/>
    <w:basedOn w:val="DefaultParagraphFont"/>
    <w:link w:val="CommentText"/>
    <w:uiPriority w:val="99"/>
    <w:semiHidden/>
    <w:rsid w:val="00A36FF0"/>
    <w:rPr>
      <w:sz w:val="20"/>
      <w:szCs w:val="20"/>
    </w:rPr>
  </w:style>
  <w:style w:type="paragraph" w:styleId="CommentSubject">
    <w:name w:val="annotation subject"/>
    <w:basedOn w:val="CommentText"/>
    <w:next w:val="CommentText"/>
    <w:link w:val="CommentSubjectChar"/>
    <w:uiPriority w:val="99"/>
    <w:semiHidden/>
    <w:unhideWhenUsed/>
    <w:rsid w:val="00A36FF0"/>
    <w:rPr>
      <w:b/>
      <w:bCs/>
    </w:rPr>
  </w:style>
  <w:style w:type="character" w:customStyle="1" w:styleId="CommentSubjectChar">
    <w:name w:val="Comment Subject Char"/>
    <w:basedOn w:val="CommentTextChar"/>
    <w:link w:val="CommentSubject"/>
    <w:uiPriority w:val="99"/>
    <w:semiHidden/>
    <w:rsid w:val="00A36FF0"/>
    <w:rPr>
      <w:b/>
      <w:bCs/>
      <w:sz w:val="20"/>
      <w:szCs w:val="20"/>
    </w:rPr>
  </w:style>
  <w:style w:type="paragraph" w:styleId="Revision">
    <w:name w:val="Revision"/>
    <w:hidden/>
    <w:uiPriority w:val="99"/>
    <w:semiHidden/>
    <w:rsid w:val="00303857"/>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D02B2-0F35-4320-8921-A9B4EA44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2021-01-21T14:26:00Z</dcterms:created>
  <dcterms:modified xsi:type="dcterms:W3CDTF">2021-01-21T14:31:00Z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202742497v.1</vt:lpwstr>
  </property>
  <property fmtid="{D5CDD505-2E9C-101B-9397-08002B2CF9AE}" pid="3" name="_NewReviewCycle">
    <vt:lpwstr/>
  </property>
</Properties>
</file>