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FFF9" w14:textId="77777777" w:rsidR="00C80D59" w:rsidRDefault="000A471F" w:rsidP="00F11D5E">
      <w:pPr>
        <w:pStyle w:val="Heading1"/>
        <w:spacing w:before="0" w:after="200"/>
        <w:ind w:left="0" w:right="40"/>
      </w:pPr>
      <w:r>
        <w:t>USANA HEALTH SCIENCES, INC.</w:t>
      </w:r>
    </w:p>
    <w:p w14:paraId="5B8CFFFA" w14:textId="77777777" w:rsidR="00C80D59" w:rsidRDefault="000A471F" w:rsidP="00F11D5E">
      <w:pPr>
        <w:spacing w:after="200"/>
        <w:ind w:right="40"/>
        <w:jc w:val="center"/>
        <w:rPr>
          <w:b/>
          <w:sz w:val="24"/>
        </w:rPr>
      </w:pPr>
      <w:r>
        <w:rPr>
          <w:b/>
          <w:sz w:val="24"/>
        </w:rPr>
        <w:t>Board of Directors</w:t>
      </w:r>
    </w:p>
    <w:p w14:paraId="5B8CFFFB" w14:textId="77777777" w:rsidR="00A33316" w:rsidRDefault="000A471F" w:rsidP="00F11D5E">
      <w:pPr>
        <w:spacing w:after="200"/>
        <w:ind w:right="40"/>
        <w:jc w:val="center"/>
        <w:rPr>
          <w:b/>
          <w:sz w:val="24"/>
        </w:rPr>
      </w:pPr>
      <w:r>
        <w:rPr>
          <w:b/>
          <w:sz w:val="24"/>
        </w:rPr>
        <w:t>Sustainability Committee</w:t>
      </w:r>
    </w:p>
    <w:p w14:paraId="5B8CFFFC" w14:textId="77777777" w:rsidR="00A33316" w:rsidRDefault="000A471F" w:rsidP="00F11D5E">
      <w:pPr>
        <w:spacing w:after="200"/>
        <w:ind w:right="40"/>
        <w:jc w:val="center"/>
        <w:rPr>
          <w:b/>
          <w:sz w:val="24"/>
        </w:rPr>
      </w:pPr>
      <w:r>
        <w:rPr>
          <w:b/>
          <w:sz w:val="24"/>
        </w:rPr>
        <w:t>Committee Charter</w:t>
      </w:r>
    </w:p>
    <w:p w14:paraId="5B8CFFFD" w14:textId="77777777" w:rsidR="00C80D59" w:rsidRDefault="000A471F" w:rsidP="00F11D5E">
      <w:pPr>
        <w:pStyle w:val="BodyText"/>
        <w:spacing w:after="200"/>
        <w:ind w:left="0" w:right="40"/>
      </w:pPr>
      <w:r>
        <w:rPr>
          <w:b/>
          <w:i/>
        </w:rPr>
        <w:t>Purpose</w:t>
      </w:r>
      <w:r>
        <w:t xml:space="preserve"> </w:t>
      </w:r>
    </w:p>
    <w:p w14:paraId="5B8CFFFE" w14:textId="77777777" w:rsidR="00A50B2F" w:rsidRPr="000B1C72" w:rsidRDefault="000A471F" w:rsidP="00F11D5E">
      <w:pPr>
        <w:pStyle w:val="BodyText"/>
        <w:spacing w:after="200"/>
        <w:ind w:left="0" w:right="40"/>
      </w:pPr>
      <w:r>
        <w:t xml:space="preserve">The </w:t>
      </w:r>
      <w:r w:rsidR="006B69FC">
        <w:t>Sustainability</w:t>
      </w:r>
      <w:r>
        <w:t xml:space="preserve"> Committee (the “Committee”) of the Board of Directors (the “Board”) of USANA Health Sciences, Inc. (the “Company</w:t>
      </w:r>
      <w:r w:rsidR="00065A08">
        <w:t xml:space="preserve">”) is appointed by the Board to </w:t>
      </w:r>
      <w:r w:rsidR="00A33316">
        <w:t>provide guidance to</w:t>
      </w:r>
      <w:r w:rsidR="00F86A3E">
        <w:t xml:space="preserve"> </w:t>
      </w:r>
      <w:r w:rsidR="005054A0" w:rsidRPr="00065A08">
        <w:t xml:space="preserve">the Board in </w:t>
      </w:r>
      <w:r w:rsidR="00F86A3E">
        <w:t xml:space="preserve">fulfilling </w:t>
      </w:r>
      <w:r w:rsidR="00064D77" w:rsidRPr="00065A08">
        <w:t xml:space="preserve">its oversight </w:t>
      </w:r>
      <w:r w:rsidR="00F86A3E">
        <w:t xml:space="preserve">responsibility </w:t>
      </w:r>
      <w:r w:rsidR="00B17C9C">
        <w:t>related to</w:t>
      </w:r>
      <w:r w:rsidR="00F86A3E">
        <w:t xml:space="preserve"> the </w:t>
      </w:r>
      <w:r w:rsidR="00064D77" w:rsidRPr="00065A08">
        <w:t xml:space="preserve">Company’s </w:t>
      </w:r>
      <w:r w:rsidR="00CC3963" w:rsidRPr="00065A08">
        <w:t xml:space="preserve">environmental, social and governance (“ESG”) </w:t>
      </w:r>
      <w:r w:rsidR="000B1C72">
        <w:t xml:space="preserve">and corporate social responsibility (“CSR”) </w:t>
      </w:r>
      <w:r w:rsidR="00705BAB">
        <w:t>matters to foster c</w:t>
      </w:r>
      <w:r w:rsidR="008906E0">
        <w:t>orporate sustainability</w:t>
      </w:r>
      <w:r w:rsidR="000B1C72">
        <w:t>.</w:t>
      </w:r>
    </w:p>
    <w:p w14:paraId="5B8CFFFF" w14:textId="77777777" w:rsidR="00A50B2F" w:rsidRDefault="000A471F" w:rsidP="00F11D5E">
      <w:pPr>
        <w:pStyle w:val="Heading2"/>
        <w:spacing w:before="0" w:after="200"/>
        <w:ind w:left="0" w:right="40"/>
      </w:pPr>
      <w:r>
        <w:t>Committee Membership</w:t>
      </w:r>
    </w:p>
    <w:p w14:paraId="5B8D0000" w14:textId="77777777" w:rsidR="00A50B2F" w:rsidRDefault="000A471F" w:rsidP="00F11D5E">
      <w:pPr>
        <w:pStyle w:val="BodyText"/>
        <w:spacing w:after="200"/>
        <w:ind w:left="0" w:right="40"/>
      </w:pPr>
      <w:r>
        <w:t xml:space="preserve">The Committee members will be appointed by the Board on the recommendation of the </w:t>
      </w:r>
      <w:r w:rsidR="00065A08">
        <w:t xml:space="preserve">Governance, Risk and </w:t>
      </w:r>
      <w:r w:rsidR="005B7855">
        <w:t xml:space="preserve">Nominating </w:t>
      </w:r>
      <w:r>
        <w:t>Committee</w:t>
      </w:r>
      <w:r w:rsidR="000B1C72">
        <w:t xml:space="preserve"> </w:t>
      </w:r>
      <w:r w:rsidR="00065A08">
        <w:t xml:space="preserve">of the Board, </w:t>
      </w:r>
      <w:r>
        <w:t>for such terms as the Board may determine, or until their earlier resignation</w:t>
      </w:r>
      <w:r w:rsidR="006577AE">
        <w:t xml:space="preserve">, </w:t>
      </w:r>
      <w:proofErr w:type="gramStart"/>
      <w:r w:rsidR="006577AE">
        <w:t>removal</w:t>
      </w:r>
      <w:proofErr w:type="gramEnd"/>
      <w:r>
        <w:t xml:space="preserve"> or death. The Chair of the Committee will be appointed by the Board. Committee members may be removed from the Committee at the discretion of the Board with or without cause. The Committee will be comprised of not fewer than three non-employee directors, each of whom satisfies the applicable independence requirements of the New York Stock Exchange (“NYSE”) and the Securities and Exchange Commission (“SEC”), as they may be amended from time to time. The Committee shall have the authority to delegate any of its responsibilities to subcommittees, as the Committee may deem appropriate.</w:t>
      </w:r>
    </w:p>
    <w:p w14:paraId="5B8D0001" w14:textId="77777777" w:rsidR="00A50B2F" w:rsidRDefault="000A471F" w:rsidP="00F11D5E">
      <w:pPr>
        <w:pStyle w:val="Heading2"/>
        <w:spacing w:before="0" w:after="200"/>
        <w:ind w:left="0" w:right="40"/>
      </w:pPr>
      <w:r>
        <w:t>Meetings</w:t>
      </w:r>
    </w:p>
    <w:p w14:paraId="5B8D0002" w14:textId="77777777" w:rsidR="00A50B2F" w:rsidRDefault="000A471F" w:rsidP="00F11D5E">
      <w:pPr>
        <w:pStyle w:val="BodyText"/>
        <w:spacing w:after="200"/>
        <w:ind w:left="0" w:right="40"/>
      </w:pPr>
      <w:r>
        <w:t>The Committee shall meet at such times and in the manner it determines to be necessary or appropriate</w:t>
      </w:r>
      <w:r w:rsidR="00F86A3E">
        <w:t xml:space="preserve"> to </w:t>
      </w:r>
      <w:r w:rsidR="00A33316">
        <w:t xml:space="preserve">fulfill its duties and </w:t>
      </w:r>
      <w:r w:rsidR="00F86A3E">
        <w:t>responsibilities</w:t>
      </w:r>
      <w:r>
        <w:t xml:space="preserve">, but not less than once each year. </w:t>
      </w:r>
      <w:r w:rsidR="006C3F17">
        <w:t>The Chair of the Committee will preside at each meeting and, in consultation with the other members of the Committee, set the agenda of items to be addres</w:t>
      </w:r>
      <w:r w:rsidR="00F11D5E">
        <w:t xml:space="preserve">sed at each meeting. The agenda </w:t>
      </w:r>
      <w:r w:rsidR="006C3F17">
        <w:t xml:space="preserve">for each meeting will be circulated to each Committee member in advance of the meeting. </w:t>
      </w:r>
      <w:r w:rsidR="00C80D59" w:rsidRPr="00C80D59">
        <w:t>The Committee is governed by the same rules regarding meetings (including meetings in person or by telephone, video conference, or other similar communications equipment), action without meetings, notice, waiver of notice, and quorum and voting requirements as are applicable to the Board.</w:t>
      </w:r>
      <w:r w:rsidR="00C80D59">
        <w:t xml:space="preserve"> </w:t>
      </w:r>
      <w:r w:rsidR="006C3F17">
        <w:t>The Committee may request any officer or employee of the Company or the Company’s outside counsel to attend Committee meetings or meet with Committee members or the Committee’s advisors.</w:t>
      </w:r>
    </w:p>
    <w:p w14:paraId="5B8D0003" w14:textId="77777777" w:rsidR="00A50B2F" w:rsidRDefault="000A471F" w:rsidP="00F11D5E">
      <w:pPr>
        <w:pStyle w:val="Heading2"/>
        <w:spacing w:before="0" w:after="200"/>
        <w:ind w:left="0" w:right="40"/>
      </w:pPr>
      <w:r>
        <w:t>Committee Responsibilities and Duties</w:t>
      </w:r>
    </w:p>
    <w:p w14:paraId="5B8D0004" w14:textId="77777777" w:rsidR="00A50B2F" w:rsidRDefault="000A471F" w:rsidP="00F11D5E">
      <w:pPr>
        <w:pStyle w:val="BodyText"/>
        <w:spacing w:after="200" w:line="242" w:lineRule="auto"/>
        <w:ind w:left="0" w:right="40"/>
      </w:pPr>
      <w:r>
        <w:t>In addition to such other duties and responsibilities within the scope of its primary functions as the Board may assign to it, or as the Committee may from time to time determine, the Committee shall have the following duties and responsibilities:</w:t>
      </w:r>
    </w:p>
    <w:p w14:paraId="5B8D0005" w14:textId="77777777" w:rsidR="00554CD1" w:rsidRPr="000B1C72" w:rsidRDefault="000A471F" w:rsidP="00F11D5E">
      <w:pPr>
        <w:pStyle w:val="ListParagraph"/>
        <w:numPr>
          <w:ilvl w:val="0"/>
          <w:numId w:val="2"/>
        </w:numPr>
        <w:spacing w:before="0" w:after="200"/>
        <w:ind w:left="1440" w:right="40" w:hanging="720"/>
        <w:rPr>
          <w:sz w:val="24"/>
        </w:rPr>
      </w:pPr>
      <w:r>
        <w:rPr>
          <w:sz w:val="24"/>
        </w:rPr>
        <w:t xml:space="preserve">Assist the Board in </w:t>
      </w:r>
      <w:r w:rsidR="00B17C9C">
        <w:rPr>
          <w:sz w:val="24"/>
        </w:rPr>
        <w:t xml:space="preserve">fulfilling </w:t>
      </w:r>
      <w:r>
        <w:rPr>
          <w:sz w:val="24"/>
        </w:rPr>
        <w:t xml:space="preserve">its oversight </w:t>
      </w:r>
      <w:r w:rsidR="00B17C9C">
        <w:rPr>
          <w:sz w:val="24"/>
        </w:rPr>
        <w:t xml:space="preserve">responsibility </w:t>
      </w:r>
      <w:r>
        <w:rPr>
          <w:sz w:val="24"/>
        </w:rPr>
        <w:t xml:space="preserve">of </w:t>
      </w:r>
      <w:r w:rsidR="000B1C72">
        <w:rPr>
          <w:sz w:val="24"/>
        </w:rPr>
        <w:t xml:space="preserve">sustainability </w:t>
      </w:r>
      <w:r>
        <w:rPr>
          <w:sz w:val="24"/>
        </w:rPr>
        <w:t>matters</w:t>
      </w:r>
      <w:r w:rsidR="000B1C72">
        <w:rPr>
          <w:sz w:val="24"/>
        </w:rPr>
        <w:t xml:space="preserve">, including ESG and CSR </w:t>
      </w:r>
      <w:proofErr w:type="gramStart"/>
      <w:r w:rsidR="000B1C72">
        <w:rPr>
          <w:sz w:val="24"/>
        </w:rPr>
        <w:t>matters</w:t>
      </w:r>
      <w:r w:rsidR="00B17C9C">
        <w:rPr>
          <w:sz w:val="24"/>
        </w:rPr>
        <w:t>;</w:t>
      </w:r>
      <w:proofErr w:type="gramEnd"/>
    </w:p>
    <w:p w14:paraId="5B8D0006" w14:textId="77777777" w:rsidR="00554CD1" w:rsidRDefault="000A471F" w:rsidP="00A22CD3">
      <w:pPr>
        <w:pStyle w:val="ListParagraph"/>
        <w:widowControl/>
        <w:numPr>
          <w:ilvl w:val="0"/>
          <w:numId w:val="2"/>
        </w:numPr>
        <w:spacing w:before="0" w:after="200"/>
        <w:ind w:left="1440" w:right="43" w:hanging="720"/>
        <w:rPr>
          <w:sz w:val="24"/>
        </w:rPr>
      </w:pPr>
      <w:r>
        <w:rPr>
          <w:sz w:val="24"/>
        </w:rPr>
        <w:lastRenderedPageBreak/>
        <w:t xml:space="preserve">Advise the </w:t>
      </w:r>
      <w:r w:rsidR="00B17C9C">
        <w:rPr>
          <w:sz w:val="24"/>
        </w:rPr>
        <w:t xml:space="preserve">Board </w:t>
      </w:r>
      <w:r>
        <w:rPr>
          <w:sz w:val="24"/>
        </w:rPr>
        <w:t xml:space="preserve">on </w:t>
      </w:r>
      <w:r w:rsidR="00B17C9C">
        <w:rPr>
          <w:sz w:val="24"/>
        </w:rPr>
        <w:t>maintaining and improving corporate</w:t>
      </w:r>
      <w:r>
        <w:rPr>
          <w:sz w:val="24"/>
        </w:rPr>
        <w:t xml:space="preserve"> </w:t>
      </w:r>
      <w:r w:rsidR="000B1C72">
        <w:rPr>
          <w:sz w:val="24"/>
        </w:rPr>
        <w:t xml:space="preserve">sustainability </w:t>
      </w:r>
      <w:r>
        <w:rPr>
          <w:sz w:val="24"/>
        </w:rPr>
        <w:t>strateg</w:t>
      </w:r>
      <w:r w:rsidR="00B17C9C">
        <w:rPr>
          <w:sz w:val="24"/>
        </w:rPr>
        <w:t>ies</w:t>
      </w:r>
      <w:r>
        <w:rPr>
          <w:sz w:val="24"/>
        </w:rPr>
        <w:t>, program</w:t>
      </w:r>
      <w:r w:rsidR="00B17C9C">
        <w:rPr>
          <w:sz w:val="24"/>
        </w:rPr>
        <w:t>s</w:t>
      </w:r>
      <w:r>
        <w:rPr>
          <w:sz w:val="24"/>
        </w:rPr>
        <w:t>, goals, initiatives, and investments to align the same with the Company’s overall business strategy</w:t>
      </w:r>
      <w:r w:rsidR="00A22CD3">
        <w:rPr>
          <w:sz w:val="24"/>
        </w:rPr>
        <w:t>;</w:t>
      </w:r>
    </w:p>
    <w:p w14:paraId="5B8D0007" w14:textId="77777777" w:rsidR="00F4694E" w:rsidRDefault="000A471F" w:rsidP="00F11D5E">
      <w:pPr>
        <w:pStyle w:val="ListParagraph"/>
        <w:numPr>
          <w:ilvl w:val="0"/>
          <w:numId w:val="2"/>
        </w:numPr>
        <w:spacing w:before="0" w:after="200"/>
        <w:ind w:left="1440" w:right="40" w:hanging="720"/>
        <w:rPr>
          <w:sz w:val="24"/>
        </w:rPr>
      </w:pPr>
      <w:r>
        <w:rPr>
          <w:sz w:val="24"/>
        </w:rPr>
        <w:t>Consider</w:t>
      </w:r>
      <w:r w:rsidR="00554CD1">
        <w:rPr>
          <w:sz w:val="24"/>
        </w:rPr>
        <w:t xml:space="preserve">, evaluate, and advise </w:t>
      </w:r>
      <w:r w:rsidR="00A22CD3">
        <w:rPr>
          <w:sz w:val="24"/>
        </w:rPr>
        <w:t xml:space="preserve">the Board </w:t>
      </w:r>
      <w:r w:rsidR="00554CD1">
        <w:rPr>
          <w:sz w:val="24"/>
        </w:rPr>
        <w:t xml:space="preserve">on </w:t>
      </w:r>
      <w:r w:rsidR="00F91FC4">
        <w:rPr>
          <w:sz w:val="24"/>
        </w:rPr>
        <w:t xml:space="preserve">sustainability, ESG, and CSR </w:t>
      </w:r>
      <w:r w:rsidR="00252713">
        <w:rPr>
          <w:sz w:val="24"/>
        </w:rPr>
        <w:t xml:space="preserve">risks that may materially affect </w:t>
      </w:r>
      <w:r w:rsidR="00554CD1">
        <w:rPr>
          <w:sz w:val="24"/>
        </w:rPr>
        <w:t xml:space="preserve">the </w:t>
      </w:r>
      <w:r w:rsidR="00A22CD3">
        <w:rPr>
          <w:sz w:val="24"/>
        </w:rPr>
        <w:t xml:space="preserve">business activities of the </w:t>
      </w:r>
      <w:r w:rsidR="00252713">
        <w:rPr>
          <w:sz w:val="24"/>
        </w:rPr>
        <w:t>Company</w:t>
      </w:r>
      <w:r w:rsidR="00554CD1">
        <w:rPr>
          <w:sz w:val="24"/>
        </w:rPr>
        <w:t xml:space="preserve"> and its overall business strategy</w:t>
      </w:r>
      <w:r w:rsidR="009762FD">
        <w:rPr>
          <w:sz w:val="24"/>
        </w:rPr>
        <w:t>;</w:t>
      </w:r>
    </w:p>
    <w:p w14:paraId="5B8D0008" w14:textId="77777777" w:rsidR="00554CD1" w:rsidRPr="000B1C72" w:rsidRDefault="000A471F" w:rsidP="00F11D5E">
      <w:pPr>
        <w:pStyle w:val="ListParagraph"/>
        <w:numPr>
          <w:ilvl w:val="0"/>
          <w:numId w:val="2"/>
        </w:numPr>
        <w:spacing w:before="0" w:after="200" w:line="242" w:lineRule="auto"/>
        <w:ind w:left="1440" w:right="40" w:hanging="720"/>
        <w:rPr>
          <w:sz w:val="24"/>
        </w:rPr>
      </w:pPr>
      <w:r>
        <w:rPr>
          <w:sz w:val="24"/>
        </w:rPr>
        <w:t xml:space="preserve">Monitor and track the Company’s progress and execution of its </w:t>
      </w:r>
      <w:r w:rsidR="00F91FC4">
        <w:rPr>
          <w:sz w:val="24"/>
        </w:rPr>
        <w:t xml:space="preserve">sustainability </w:t>
      </w:r>
      <w:r>
        <w:rPr>
          <w:sz w:val="24"/>
        </w:rPr>
        <w:t>strategy</w:t>
      </w:r>
      <w:r w:rsidR="009762FD">
        <w:rPr>
          <w:sz w:val="24"/>
        </w:rPr>
        <w:t>;</w:t>
      </w:r>
    </w:p>
    <w:p w14:paraId="5B8D0009" w14:textId="77777777" w:rsidR="00A50B2F" w:rsidRDefault="000A471F" w:rsidP="00F11D5E">
      <w:pPr>
        <w:pStyle w:val="ListParagraph"/>
        <w:numPr>
          <w:ilvl w:val="0"/>
          <w:numId w:val="2"/>
        </w:numPr>
        <w:spacing w:before="0" w:after="200" w:line="242" w:lineRule="auto"/>
        <w:ind w:left="1440" w:right="40" w:hanging="720"/>
        <w:rPr>
          <w:sz w:val="24"/>
        </w:rPr>
      </w:pPr>
      <w:r>
        <w:rPr>
          <w:sz w:val="24"/>
        </w:rPr>
        <w:t xml:space="preserve">Review reports from Company management on </w:t>
      </w:r>
      <w:r w:rsidR="00F4694E">
        <w:rPr>
          <w:sz w:val="24"/>
        </w:rPr>
        <w:t xml:space="preserve">the </w:t>
      </w:r>
      <w:r w:rsidR="00554CD1">
        <w:rPr>
          <w:sz w:val="24"/>
        </w:rPr>
        <w:t xml:space="preserve">Company’s </w:t>
      </w:r>
      <w:r w:rsidR="00F91FC4">
        <w:rPr>
          <w:sz w:val="24"/>
        </w:rPr>
        <w:t xml:space="preserve">sustainability </w:t>
      </w:r>
      <w:r w:rsidR="00554CD1">
        <w:rPr>
          <w:sz w:val="24"/>
        </w:rPr>
        <w:t>strategy</w:t>
      </w:r>
      <w:r w:rsidR="00F91FC4">
        <w:rPr>
          <w:sz w:val="24"/>
        </w:rPr>
        <w:t>, as well as ESG and CSR matters</w:t>
      </w:r>
      <w:r w:rsidR="009762FD">
        <w:rPr>
          <w:sz w:val="24"/>
        </w:rPr>
        <w:t>;</w:t>
      </w:r>
    </w:p>
    <w:p w14:paraId="5B8D000A" w14:textId="77777777" w:rsidR="00A50B2F" w:rsidRDefault="000A471F" w:rsidP="00F11D5E">
      <w:pPr>
        <w:pStyle w:val="ListParagraph"/>
        <w:numPr>
          <w:ilvl w:val="0"/>
          <w:numId w:val="2"/>
        </w:numPr>
        <w:spacing w:before="0" w:after="200" w:line="242" w:lineRule="auto"/>
        <w:ind w:left="1440" w:right="40" w:hanging="720"/>
        <w:rPr>
          <w:sz w:val="24"/>
        </w:rPr>
      </w:pPr>
      <w:r>
        <w:rPr>
          <w:sz w:val="24"/>
        </w:rPr>
        <w:t>Review with management</w:t>
      </w:r>
      <w:r w:rsidR="00554CD1">
        <w:rPr>
          <w:sz w:val="24"/>
        </w:rPr>
        <w:t>, and the Board,</w:t>
      </w:r>
      <w:r>
        <w:rPr>
          <w:sz w:val="24"/>
        </w:rPr>
        <w:t xml:space="preserve"> the Company’s </w:t>
      </w:r>
      <w:r w:rsidR="00F91FC4">
        <w:rPr>
          <w:sz w:val="24"/>
        </w:rPr>
        <w:t xml:space="preserve">sustainability </w:t>
      </w:r>
      <w:r>
        <w:rPr>
          <w:sz w:val="24"/>
        </w:rPr>
        <w:t>disclosures</w:t>
      </w:r>
      <w:r w:rsidR="00554CD1">
        <w:rPr>
          <w:sz w:val="24"/>
        </w:rPr>
        <w:t xml:space="preserve"> including </w:t>
      </w:r>
      <w:r w:rsidR="005B7855">
        <w:rPr>
          <w:sz w:val="24"/>
        </w:rPr>
        <w:t xml:space="preserve">those </w:t>
      </w:r>
      <w:r w:rsidR="00554CD1">
        <w:rPr>
          <w:sz w:val="24"/>
        </w:rPr>
        <w:t>in the Company’s</w:t>
      </w:r>
      <w:r>
        <w:rPr>
          <w:sz w:val="24"/>
        </w:rPr>
        <w:t xml:space="preserve"> annual proxy statement</w:t>
      </w:r>
      <w:r w:rsidR="00554CD1">
        <w:rPr>
          <w:sz w:val="24"/>
        </w:rPr>
        <w:t xml:space="preserve"> and any sustainability</w:t>
      </w:r>
      <w:r w:rsidR="00F91FC4">
        <w:rPr>
          <w:sz w:val="24"/>
        </w:rPr>
        <w:t>, ESG or CSR</w:t>
      </w:r>
      <w:r w:rsidR="00554CD1">
        <w:rPr>
          <w:sz w:val="24"/>
        </w:rPr>
        <w:t xml:space="preserve"> report </w:t>
      </w:r>
      <w:r w:rsidR="005B7855">
        <w:rPr>
          <w:sz w:val="24"/>
        </w:rPr>
        <w:t xml:space="preserve">or other disclosure document </w:t>
      </w:r>
      <w:r w:rsidR="00554CD1">
        <w:rPr>
          <w:sz w:val="24"/>
        </w:rPr>
        <w:t xml:space="preserve">issued by the </w:t>
      </w:r>
      <w:proofErr w:type="gramStart"/>
      <w:r w:rsidR="00554CD1">
        <w:rPr>
          <w:sz w:val="24"/>
        </w:rPr>
        <w:t>Company</w:t>
      </w:r>
      <w:r w:rsidR="009762FD">
        <w:rPr>
          <w:sz w:val="24"/>
        </w:rPr>
        <w:t>;</w:t>
      </w:r>
      <w:proofErr w:type="gramEnd"/>
    </w:p>
    <w:p w14:paraId="5B8D000B" w14:textId="77777777" w:rsidR="00DE168F" w:rsidRDefault="000A471F" w:rsidP="00DE168F">
      <w:pPr>
        <w:pStyle w:val="ListParagraph"/>
        <w:numPr>
          <w:ilvl w:val="0"/>
          <w:numId w:val="2"/>
        </w:numPr>
        <w:spacing w:before="0" w:after="200" w:line="247" w:lineRule="auto"/>
        <w:ind w:left="1440" w:right="40" w:hanging="720"/>
        <w:rPr>
          <w:sz w:val="24"/>
        </w:rPr>
      </w:pPr>
      <w:r>
        <w:rPr>
          <w:sz w:val="24"/>
        </w:rPr>
        <w:t>Review with management public policy issues, matters and trends that may affect the Company or its overall business strategy and oversee the Company’s public policy engagement practices as well as the Company’s policies and practices regarding political contributions and charitable</w:t>
      </w:r>
      <w:r w:rsidR="001C5D99">
        <w:rPr>
          <w:sz w:val="24"/>
        </w:rPr>
        <w:t xml:space="preserve"> </w:t>
      </w:r>
      <w:proofErr w:type="gramStart"/>
      <w:r w:rsidR="001C5D99">
        <w:rPr>
          <w:sz w:val="24"/>
        </w:rPr>
        <w:t>endeavors</w:t>
      </w:r>
      <w:r w:rsidR="009762FD">
        <w:rPr>
          <w:sz w:val="24"/>
        </w:rPr>
        <w:t>;</w:t>
      </w:r>
      <w:proofErr w:type="gramEnd"/>
    </w:p>
    <w:p w14:paraId="5B8D000D" w14:textId="73A41B98" w:rsidR="00CE1B18" w:rsidRDefault="000A471F" w:rsidP="000A471F">
      <w:pPr>
        <w:widowControl/>
        <w:numPr>
          <w:ilvl w:val="0"/>
          <w:numId w:val="2"/>
        </w:numPr>
        <w:shd w:val="clear" w:color="auto" w:fill="FFFFFF"/>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hanging="720"/>
        <w:rPr>
          <w:rFonts w:ascii="inherit" w:hAnsi="inherit" w:cs="Courier New"/>
          <w:color w:val="252525"/>
          <w:sz w:val="23"/>
          <w:szCs w:val="23"/>
        </w:rPr>
      </w:pPr>
      <w:r w:rsidRPr="00CE1B18">
        <w:rPr>
          <w:rFonts w:ascii="inherit" w:hAnsi="inherit" w:cs="Courier New"/>
          <w:color w:val="252525"/>
          <w:sz w:val="23"/>
          <w:szCs w:val="23"/>
        </w:rPr>
        <w:t xml:space="preserve">To oversee and </w:t>
      </w:r>
      <w:r>
        <w:rPr>
          <w:rFonts w:ascii="inherit" w:hAnsi="inherit" w:cs="Courier New"/>
          <w:color w:val="252525"/>
          <w:sz w:val="23"/>
          <w:szCs w:val="23"/>
        </w:rPr>
        <w:t>advise the Board on the Company’</w:t>
      </w:r>
      <w:r w:rsidRPr="00CE1B18">
        <w:rPr>
          <w:rFonts w:ascii="inherit" w:hAnsi="inherit" w:cs="Courier New"/>
          <w:color w:val="252525"/>
          <w:sz w:val="23"/>
          <w:szCs w:val="23"/>
        </w:rPr>
        <w:t xml:space="preserve">s sustainability and ESG-related engagement efforts with </w:t>
      </w:r>
      <w:r>
        <w:rPr>
          <w:rFonts w:ascii="inherit" w:hAnsi="inherit" w:cs="Courier New"/>
          <w:color w:val="252525"/>
          <w:sz w:val="23"/>
          <w:szCs w:val="23"/>
        </w:rPr>
        <w:t xml:space="preserve">shareholders </w:t>
      </w:r>
      <w:r w:rsidRPr="00CE1B18">
        <w:rPr>
          <w:rFonts w:ascii="inherit" w:hAnsi="inherit" w:cs="Courier New"/>
          <w:color w:val="252525"/>
          <w:sz w:val="23"/>
          <w:szCs w:val="23"/>
        </w:rPr>
        <w:t xml:space="preserve">and other key </w:t>
      </w:r>
      <w:r>
        <w:rPr>
          <w:rFonts w:ascii="inherit" w:hAnsi="inherit" w:cs="Courier New"/>
          <w:color w:val="252525"/>
          <w:sz w:val="23"/>
          <w:szCs w:val="23"/>
        </w:rPr>
        <w:t>stakeholders</w:t>
      </w:r>
      <w:r w:rsidRPr="00CE1B18">
        <w:rPr>
          <w:rFonts w:ascii="inherit" w:hAnsi="inherit" w:cs="Courier New"/>
          <w:color w:val="252525"/>
          <w:sz w:val="23"/>
          <w:szCs w:val="23"/>
        </w:rPr>
        <w:t xml:space="preserve">, including proxy advisory firms, non-governmental organizations (NGOs), </w:t>
      </w:r>
      <w:r>
        <w:rPr>
          <w:rFonts w:ascii="inherit" w:hAnsi="inherit" w:cs="Courier New"/>
          <w:color w:val="252525"/>
          <w:sz w:val="23"/>
          <w:szCs w:val="23"/>
        </w:rPr>
        <w:t xml:space="preserve">and </w:t>
      </w:r>
      <w:r w:rsidRPr="00CE1B18">
        <w:rPr>
          <w:rFonts w:ascii="inherit" w:hAnsi="inherit" w:cs="Courier New"/>
          <w:color w:val="252525"/>
          <w:sz w:val="23"/>
          <w:szCs w:val="23"/>
        </w:rPr>
        <w:t>key ESG ratings agencies and providers.</w:t>
      </w:r>
    </w:p>
    <w:p w14:paraId="79C39DE9" w14:textId="77777777" w:rsidR="000A471F" w:rsidRPr="000A471F" w:rsidRDefault="000A471F" w:rsidP="000A471F">
      <w:pPr>
        <w:widowControl/>
        <w:shd w:val="clear" w:color="auto" w:fill="FFFFFF"/>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Pr>
          <w:rFonts w:ascii="inherit" w:hAnsi="inherit" w:cs="Courier New"/>
          <w:color w:val="252525"/>
          <w:sz w:val="23"/>
          <w:szCs w:val="23"/>
        </w:rPr>
      </w:pPr>
    </w:p>
    <w:p w14:paraId="5B8D000E" w14:textId="77777777" w:rsidR="00DE168F" w:rsidRPr="00DE168F" w:rsidRDefault="000A471F" w:rsidP="00DE168F">
      <w:pPr>
        <w:pStyle w:val="ListParagraph"/>
        <w:numPr>
          <w:ilvl w:val="0"/>
          <w:numId w:val="2"/>
        </w:numPr>
        <w:spacing w:before="0" w:after="200" w:line="247" w:lineRule="auto"/>
        <w:ind w:left="1440" w:right="40" w:hanging="720"/>
        <w:rPr>
          <w:sz w:val="24"/>
        </w:rPr>
      </w:pPr>
      <w:r w:rsidRPr="00DE168F">
        <w:rPr>
          <w:sz w:val="24"/>
        </w:rPr>
        <w:t>Establish and oversee procedures for the receipt, retention and treatment of confidential and anonymous complaints</w:t>
      </w:r>
      <w:r>
        <w:rPr>
          <w:sz w:val="24"/>
        </w:rPr>
        <w:t xml:space="preserve"> by management</w:t>
      </w:r>
      <w:r w:rsidRPr="00DE168F">
        <w:rPr>
          <w:sz w:val="24"/>
        </w:rPr>
        <w:t xml:space="preserve"> regarding </w:t>
      </w:r>
      <w:r>
        <w:rPr>
          <w:sz w:val="24"/>
        </w:rPr>
        <w:t xml:space="preserve">pay equity, sexual harassment and gender/race </w:t>
      </w:r>
      <w:proofErr w:type="gramStart"/>
      <w:r>
        <w:rPr>
          <w:sz w:val="24"/>
        </w:rPr>
        <w:t>discrimination;</w:t>
      </w:r>
      <w:proofErr w:type="gramEnd"/>
    </w:p>
    <w:p w14:paraId="5B8D000F" w14:textId="77777777" w:rsidR="008906E0" w:rsidRDefault="000A471F" w:rsidP="008906E0">
      <w:pPr>
        <w:pStyle w:val="ListParagraph"/>
        <w:numPr>
          <w:ilvl w:val="0"/>
          <w:numId w:val="2"/>
        </w:numPr>
        <w:spacing w:before="0" w:after="200" w:line="247" w:lineRule="auto"/>
        <w:ind w:left="1440" w:right="40" w:hanging="720"/>
        <w:rPr>
          <w:sz w:val="24"/>
        </w:rPr>
      </w:pPr>
      <w:r>
        <w:rPr>
          <w:sz w:val="24"/>
        </w:rPr>
        <w:t xml:space="preserve">Review and assess the performance of the Committee and the adequacy of this Charter annually and recommend any proposed changes for the Board’s </w:t>
      </w:r>
      <w:proofErr w:type="gramStart"/>
      <w:r>
        <w:rPr>
          <w:sz w:val="24"/>
        </w:rPr>
        <w:t>approval</w:t>
      </w:r>
      <w:r w:rsidR="009762FD">
        <w:rPr>
          <w:sz w:val="24"/>
        </w:rPr>
        <w:t>;</w:t>
      </w:r>
      <w:proofErr w:type="gramEnd"/>
      <w:r w:rsidR="009762FD">
        <w:rPr>
          <w:sz w:val="24"/>
        </w:rPr>
        <w:t xml:space="preserve"> </w:t>
      </w:r>
    </w:p>
    <w:p w14:paraId="5B8D0010" w14:textId="77777777" w:rsidR="00A50B2F" w:rsidRPr="008906E0" w:rsidRDefault="000A471F" w:rsidP="008906E0">
      <w:pPr>
        <w:pStyle w:val="ListParagraph"/>
        <w:numPr>
          <w:ilvl w:val="0"/>
          <w:numId w:val="2"/>
        </w:numPr>
        <w:spacing w:before="0" w:after="200" w:line="247" w:lineRule="auto"/>
        <w:ind w:left="1440" w:right="40" w:hanging="720"/>
        <w:rPr>
          <w:sz w:val="24"/>
        </w:rPr>
      </w:pPr>
      <w:r w:rsidRPr="008906E0">
        <w:rPr>
          <w:sz w:val="24"/>
        </w:rPr>
        <w:t>Confer and coordinate with the other Board committees regarding their respective oversight of risks encountered by the Company within their respective areas of responsibilities and the proces</w:t>
      </w:r>
      <w:r>
        <w:rPr>
          <w:sz w:val="24"/>
        </w:rPr>
        <w:t xml:space="preserve">ses for monitoring those risks; </w:t>
      </w:r>
      <w:r w:rsidR="009762FD" w:rsidRPr="008906E0">
        <w:rPr>
          <w:sz w:val="24"/>
        </w:rPr>
        <w:t>and</w:t>
      </w:r>
    </w:p>
    <w:p w14:paraId="5B8D0011" w14:textId="77777777" w:rsidR="006C21A9" w:rsidRDefault="000A471F" w:rsidP="00F11D5E">
      <w:pPr>
        <w:pStyle w:val="ListParagraph"/>
        <w:numPr>
          <w:ilvl w:val="0"/>
          <w:numId w:val="2"/>
        </w:numPr>
        <w:spacing w:before="0" w:after="200" w:line="247" w:lineRule="auto"/>
        <w:ind w:left="1440" w:right="40" w:hanging="720"/>
        <w:rPr>
          <w:sz w:val="24"/>
        </w:rPr>
      </w:pPr>
      <w:r>
        <w:rPr>
          <w:sz w:val="24"/>
        </w:rPr>
        <w:t>Perform any other duties the Board may delegate to this Committee relating to the Committee’s purpose.</w:t>
      </w:r>
    </w:p>
    <w:p w14:paraId="5B8D0012" w14:textId="77777777" w:rsidR="001C5D99" w:rsidRDefault="000A471F" w:rsidP="00F11D5E">
      <w:pPr>
        <w:pStyle w:val="Heading2"/>
        <w:spacing w:before="0" w:after="200"/>
        <w:ind w:left="0" w:right="40"/>
      </w:pPr>
      <w:r>
        <w:t>Committee Authority</w:t>
      </w:r>
    </w:p>
    <w:p w14:paraId="5B8D0013" w14:textId="77777777" w:rsidR="001C5D99" w:rsidRPr="000B1C72" w:rsidRDefault="000A471F" w:rsidP="00F11D5E">
      <w:pPr>
        <w:pStyle w:val="Heading2"/>
        <w:spacing w:before="0" w:after="200"/>
        <w:ind w:left="0" w:right="40"/>
        <w:rPr>
          <w:b w:val="0"/>
          <w:i w:val="0"/>
        </w:rPr>
      </w:pPr>
      <w:r w:rsidRPr="000B1C72">
        <w:rPr>
          <w:b w:val="0"/>
          <w:i w:val="0"/>
        </w:rPr>
        <w:t xml:space="preserve">The Committee </w:t>
      </w:r>
      <w:r>
        <w:rPr>
          <w:b w:val="0"/>
          <w:i w:val="0"/>
        </w:rPr>
        <w:t xml:space="preserve">shall </w:t>
      </w:r>
      <w:r w:rsidRPr="000B1C72">
        <w:rPr>
          <w:b w:val="0"/>
          <w:i w:val="0"/>
        </w:rPr>
        <w:t xml:space="preserve">have the authority, to the extent it deems necessary or appropriate, to </w:t>
      </w:r>
      <w:r>
        <w:rPr>
          <w:b w:val="0"/>
          <w:i w:val="0"/>
        </w:rPr>
        <w:t xml:space="preserve">select, </w:t>
      </w:r>
      <w:r w:rsidRPr="000B1C72">
        <w:rPr>
          <w:b w:val="0"/>
          <w:i w:val="0"/>
        </w:rPr>
        <w:t>retain</w:t>
      </w:r>
      <w:r>
        <w:rPr>
          <w:b w:val="0"/>
          <w:i w:val="0"/>
        </w:rPr>
        <w:t>,</w:t>
      </w:r>
      <w:r w:rsidRPr="000B1C72">
        <w:rPr>
          <w:b w:val="0"/>
          <w:i w:val="0"/>
        </w:rPr>
        <w:t xml:space="preserve"> </w:t>
      </w:r>
      <w:r>
        <w:rPr>
          <w:b w:val="0"/>
          <w:i w:val="0"/>
        </w:rPr>
        <w:t xml:space="preserve">and terminate consultants, </w:t>
      </w:r>
      <w:r w:rsidRPr="001C5D99">
        <w:rPr>
          <w:b w:val="0"/>
          <w:i w:val="0"/>
        </w:rPr>
        <w:t>legal</w:t>
      </w:r>
      <w:r>
        <w:rPr>
          <w:b w:val="0"/>
          <w:i w:val="0"/>
        </w:rPr>
        <w:t xml:space="preserve"> </w:t>
      </w:r>
      <w:proofErr w:type="gramStart"/>
      <w:r>
        <w:rPr>
          <w:b w:val="0"/>
          <w:i w:val="0"/>
        </w:rPr>
        <w:t>advisors</w:t>
      </w:r>
      <w:proofErr w:type="gramEnd"/>
      <w:r>
        <w:rPr>
          <w:b w:val="0"/>
          <w:i w:val="0"/>
        </w:rPr>
        <w:t xml:space="preserve"> or other advisors</w:t>
      </w:r>
      <w:r w:rsidRPr="000B1C72">
        <w:rPr>
          <w:b w:val="0"/>
          <w:i w:val="0"/>
        </w:rPr>
        <w:t xml:space="preserve">. The Committee shall be directly responsible for the appointment, </w:t>
      </w:r>
      <w:proofErr w:type="gramStart"/>
      <w:r w:rsidRPr="000B1C72">
        <w:rPr>
          <w:b w:val="0"/>
          <w:i w:val="0"/>
        </w:rPr>
        <w:t>compensation</w:t>
      </w:r>
      <w:proofErr w:type="gramEnd"/>
      <w:r w:rsidRPr="000B1C72">
        <w:rPr>
          <w:b w:val="0"/>
          <w:i w:val="0"/>
        </w:rPr>
        <w:t xml:space="preserve"> and oversight of the work of any advisor retained by the Committee.</w:t>
      </w:r>
    </w:p>
    <w:p w14:paraId="5B8D0014" w14:textId="77777777" w:rsidR="00A50B2F" w:rsidRDefault="000A471F" w:rsidP="00F11D5E">
      <w:pPr>
        <w:pStyle w:val="Heading2"/>
        <w:spacing w:before="0" w:after="200"/>
        <w:ind w:left="0" w:right="40"/>
      </w:pPr>
      <w:r>
        <w:t>Committee Performance Evaluation</w:t>
      </w:r>
    </w:p>
    <w:p w14:paraId="5B8D0015" w14:textId="77777777" w:rsidR="00A50B2F" w:rsidRDefault="000A471F" w:rsidP="00F11D5E">
      <w:pPr>
        <w:pStyle w:val="BodyText"/>
        <w:spacing w:after="200" w:line="242" w:lineRule="auto"/>
        <w:ind w:left="0" w:right="40"/>
      </w:pPr>
      <w:r>
        <w:lastRenderedPageBreak/>
        <w:t>The Chair of the Committee shall discuss the Committee’s performance with each Committee member, following which discussions the Chair shall lead the Committee in an annual review of its performance. The annual evaluation shall include a review of this Charter and the Committee’s compliance with this Charter.</w:t>
      </w:r>
    </w:p>
    <w:p w14:paraId="5B8D0016" w14:textId="77777777" w:rsidR="00A50B2F" w:rsidRDefault="000A471F" w:rsidP="00F11D5E">
      <w:pPr>
        <w:pStyle w:val="Heading2"/>
        <w:keepNext/>
        <w:spacing w:before="0" w:after="200"/>
        <w:ind w:left="0" w:right="40"/>
      </w:pPr>
      <w:r>
        <w:t>Communication</w:t>
      </w:r>
    </w:p>
    <w:p w14:paraId="5B8D0017" w14:textId="77777777" w:rsidR="00A50B2F" w:rsidRDefault="000A471F" w:rsidP="00F11D5E">
      <w:pPr>
        <w:pStyle w:val="BodyText"/>
        <w:keepNext/>
        <w:spacing w:after="200" w:line="247" w:lineRule="auto"/>
        <w:ind w:left="0" w:right="40"/>
      </w:pPr>
      <w:r>
        <w:t>The Secretary of the Committee shall be determined by the Committee. The proceedings of all Committee meetings shall be documented in minutes.</w:t>
      </w:r>
    </w:p>
    <w:p w14:paraId="5B8D0018" w14:textId="77777777" w:rsidR="00A50B2F" w:rsidRDefault="000A471F" w:rsidP="00F11D5E">
      <w:pPr>
        <w:pStyle w:val="BodyText"/>
        <w:keepNext/>
        <w:spacing w:after="200" w:line="242" w:lineRule="auto"/>
        <w:ind w:left="0" w:right="40"/>
      </w:pPr>
      <w:r>
        <w:t>The Committee shall cause to be provided to the NYSE appropriate written confirmation of any of the foregoing matters as the NYSE may from time to time require.</w:t>
      </w:r>
    </w:p>
    <w:p w14:paraId="5B8D0019" w14:textId="7A41A79A" w:rsidR="00A50B2F" w:rsidRDefault="004F42EF" w:rsidP="00F11D5E">
      <w:pPr>
        <w:pStyle w:val="BodyText"/>
        <w:spacing w:after="200"/>
        <w:ind w:left="0" w:right="40"/>
        <w:jc w:val="right"/>
      </w:pPr>
      <w:r>
        <w:t xml:space="preserve">Updated </w:t>
      </w:r>
      <w:r w:rsidR="00FA1807">
        <w:t>February 202</w:t>
      </w:r>
      <w:r w:rsidR="00A40A52">
        <w:t>3</w:t>
      </w:r>
    </w:p>
    <w:sectPr w:rsidR="00A50B2F" w:rsidSect="00F11D5E">
      <w:headerReference w:type="even" r:id="rId7"/>
      <w:headerReference w:type="default" r:id="rId8"/>
      <w:footerReference w:type="even" r:id="rId9"/>
      <w:footerReference w:type="default" r:id="rId10"/>
      <w:headerReference w:type="first" r:id="rId11"/>
      <w:footerReference w:type="first" r:id="rId12"/>
      <w:pgSz w:w="12240" w:h="15840"/>
      <w:pgMar w:top="1380" w:right="1320" w:bottom="120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0020" w14:textId="77777777" w:rsidR="00822F70" w:rsidRDefault="000A471F">
      <w:r>
        <w:separator/>
      </w:r>
    </w:p>
  </w:endnote>
  <w:endnote w:type="continuationSeparator" w:id="0">
    <w:p w14:paraId="5B8D0022" w14:textId="77777777" w:rsidR="00822F70" w:rsidRDefault="000A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B194" w14:textId="77777777" w:rsidR="000A471F" w:rsidRDefault="000A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001A" w14:textId="77777777" w:rsidR="00A50B2F" w:rsidRDefault="000A471F">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5B8D001C" wp14:editId="5B8D001D">
              <wp:simplePos x="0" y="0"/>
              <wp:positionH relativeFrom="page">
                <wp:posOffset>3816350</wp:posOffset>
              </wp:positionH>
              <wp:positionV relativeFrom="page">
                <wp:posOffset>9272905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D001E" w14:textId="0585E831" w:rsidR="00A50B2F" w:rsidRDefault="000A471F">
                          <w:pPr>
                            <w:pStyle w:val="BodyText"/>
                            <w:spacing w:before="10"/>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8D001C" id="_x0000_t202" coordsize="21600,21600" o:spt="202" path="m,l,21600r21600,l21600,xe">
              <v:stroke joinstyle="miter"/>
              <v:path gradientshapeok="t" o:connecttype="rect"/>
            </v:shapetype>
            <v:shape id="Text Box 1" o:spid="_x0000_s1026" type="#_x0000_t202" style="position:absolute;margin-left:300.5pt;margin-top:730.1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" filled="f" stroked="f">
              <v:textbox inset="0,0,0,0">
                <w:txbxContent>
                  <w:p w14:paraId="5B8D001E" w14:textId="0585E831" w:rsidR="00A50B2F" w:rsidRDefault="000A471F">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p w14:paraId="5B8D001B" w14:textId="6CD6DC02" w:rsidR="005A113B" w:rsidRPr="005A113B" w:rsidRDefault="005A113B" w:rsidP="005A113B">
    <w:pPr>
      <w:pStyle w:val="LBFileStampAt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22FE" w14:textId="77777777" w:rsidR="000A471F" w:rsidRDefault="000A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001C" w14:textId="77777777" w:rsidR="00822F70" w:rsidRDefault="000A471F">
      <w:r>
        <w:separator/>
      </w:r>
    </w:p>
  </w:footnote>
  <w:footnote w:type="continuationSeparator" w:id="0">
    <w:p w14:paraId="5B8D001E" w14:textId="77777777" w:rsidR="00822F70" w:rsidRDefault="000A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E58" w14:textId="77777777" w:rsidR="000A471F" w:rsidRDefault="000A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E92B" w14:textId="77777777" w:rsidR="000A471F" w:rsidRDefault="000A4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9C48" w14:textId="77777777" w:rsidR="000A471F" w:rsidRDefault="000A4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E1913"/>
    <w:multiLevelType w:val="multilevel"/>
    <w:tmpl w:val="3E4E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0112D1"/>
    <w:multiLevelType w:val="hybridMultilevel"/>
    <w:tmpl w:val="443C1ACA"/>
    <w:lvl w:ilvl="0" w:tplc="BF62BF10">
      <w:numFmt w:val="bullet"/>
      <w:lvlText w:val=""/>
      <w:lvlJc w:val="left"/>
      <w:pPr>
        <w:ind w:left="829" w:hanging="360"/>
      </w:pPr>
      <w:rPr>
        <w:rFonts w:ascii="Symbol" w:eastAsia="Symbol" w:hAnsi="Symbol" w:cs="Symbol" w:hint="default"/>
        <w:w w:val="100"/>
        <w:sz w:val="20"/>
        <w:szCs w:val="20"/>
      </w:rPr>
    </w:lvl>
    <w:lvl w:ilvl="1" w:tplc="5F7C7376">
      <w:numFmt w:val="bullet"/>
      <w:lvlText w:val="•"/>
      <w:lvlJc w:val="left"/>
      <w:pPr>
        <w:ind w:left="1696" w:hanging="360"/>
      </w:pPr>
      <w:rPr>
        <w:rFonts w:hint="default"/>
      </w:rPr>
    </w:lvl>
    <w:lvl w:ilvl="2" w:tplc="E52446C6">
      <w:numFmt w:val="bullet"/>
      <w:lvlText w:val="•"/>
      <w:lvlJc w:val="left"/>
      <w:pPr>
        <w:ind w:left="2572" w:hanging="360"/>
      </w:pPr>
      <w:rPr>
        <w:rFonts w:hint="default"/>
      </w:rPr>
    </w:lvl>
    <w:lvl w:ilvl="3" w:tplc="8B3299F0">
      <w:numFmt w:val="bullet"/>
      <w:lvlText w:val="•"/>
      <w:lvlJc w:val="left"/>
      <w:pPr>
        <w:ind w:left="3448" w:hanging="360"/>
      </w:pPr>
      <w:rPr>
        <w:rFonts w:hint="default"/>
      </w:rPr>
    </w:lvl>
    <w:lvl w:ilvl="4" w:tplc="02C8FC70">
      <w:numFmt w:val="bullet"/>
      <w:lvlText w:val="•"/>
      <w:lvlJc w:val="left"/>
      <w:pPr>
        <w:ind w:left="4324" w:hanging="360"/>
      </w:pPr>
      <w:rPr>
        <w:rFonts w:hint="default"/>
      </w:rPr>
    </w:lvl>
    <w:lvl w:ilvl="5" w:tplc="F0B86550">
      <w:numFmt w:val="bullet"/>
      <w:lvlText w:val="•"/>
      <w:lvlJc w:val="left"/>
      <w:pPr>
        <w:ind w:left="5200" w:hanging="360"/>
      </w:pPr>
      <w:rPr>
        <w:rFonts w:hint="default"/>
      </w:rPr>
    </w:lvl>
    <w:lvl w:ilvl="6" w:tplc="3D1E0A94">
      <w:numFmt w:val="bullet"/>
      <w:lvlText w:val="•"/>
      <w:lvlJc w:val="left"/>
      <w:pPr>
        <w:ind w:left="6076" w:hanging="360"/>
      </w:pPr>
      <w:rPr>
        <w:rFonts w:hint="default"/>
      </w:rPr>
    </w:lvl>
    <w:lvl w:ilvl="7" w:tplc="137A711C">
      <w:numFmt w:val="bullet"/>
      <w:lvlText w:val="•"/>
      <w:lvlJc w:val="left"/>
      <w:pPr>
        <w:ind w:left="6952" w:hanging="360"/>
      </w:pPr>
      <w:rPr>
        <w:rFonts w:hint="default"/>
      </w:rPr>
    </w:lvl>
    <w:lvl w:ilvl="8" w:tplc="CEB81C82">
      <w:numFmt w:val="bullet"/>
      <w:lvlText w:val="•"/>
      <w:lvlJc w:val="left"/>
      <w:pPr>
        <w:ind w:left="7828" w:hanging="360"/>
      </w:pPr>
      <w:rPr>
        <w:rFonts w:hint="default"/>
      </w:rPr>
    </w:lvl>
  </w:abstractNum>
  <w:abstractNum w:abstractNumId="2" w15:restartNumberingAfterBreak="0">
    <w:nsid w:val="7FBC2DB5"/>
    <w:multiLevelType w:val="hybridMultilevel"/>
    <w:tmpl w:val="465A6C40"/>
    <w:lvl w:ilvl="0" w:tplc="76004004">
      <w:numFmt w:val="bullet"/>
      <w:lvlText w:val="•"/>
      <w:lvlJc w:val="left"/>
      <w:pPr>
        <w:ind w:left="829" w:hanging="360"/>
      </w:pPr>
      <w:rPr>
        <w:rFonts w:ascii="Times New Roman" w:eastAsia="Times New Roman" w:hAnsi="Times New Roman" w:cs="Times New Roman" w:hint="default"/>
        <w:w w:val="100"/>
        <w:sz w:val="24"/>
        <w:szCs w:val="24"/>
      </w:rPr>
    </w:lvl>
    <w:lvl w:ilvl="1" w:tplc="3A320FD4">
      <w:start w:val="1"/>
      <w:numFmt w:val="lowerRoman"/>
      <w:lvlText w:val="(%2)"/>
      <w:lvlJc w:val="left"/>
      <w:pPr>
        <w:ind w:left="829" w:hanging="287"/>
      </w:pPr>
      <w:rPr>
        <w:rFonts w:ascii="Times New Roman" w:eastAsia="Times New Roman" w:hAnsi="Times New Roman" w:cs="Times New Roman" w:hint="default"/>
        <w:spacing w:val="-1"/>
        <w:w w:val="100"/>
        <w:sz w:val="24"/>
        <w:szCs w:val="24"/>
      </w:rPr>
    </w:lvl>
    <w:lvl w:ilvl="2" w:tplc="A5C633FE">
      <w:numFmt w:val="bullet"/>
      <w:lvlText w:val="•"/>
      <w:lvlJc w:val="left"/>
      <w:pPr>
        <w:ind w:left="2572" w:hanging="287"/>
      </w:pPr>
      <w:rPr>
        <w:rFonts w:hint="default"/>
      </w:rPr>
    </w:lvl>
    <w:lvl w:ilvl="3" w:tplc="EF342C22">
      <w:numFmt w:val="bullet"/>
      <w:lvlText w:val="•"/>
      <w:lvlJc w:val="left"/>
      <w:pPr>
        <w:ind w:left="3448" w:hanging="287"/>
      </w:pPr>
      <w:rPr>
        <w:rFonts w:hint="default"/>
      </w:rPr>
    </w:lvl>
    <w:lvl w:ilvl="4" w:tplc="8962EF34">
      <w:numFmt w:val="bullet"/>
      <w:lvlText w:val="•"/>
      <w:lvlJc w:val="left"/>
      <w:pPr>
        <w:ind w:left="4324" w:hanging="287"/>
      </w:pPr>
      <w:rPr>
        <w:rFonts w:hint="default"/>
      </w:rPr>
    </w:lvl>
    <w:lvl w:ilvl="5" w:tplc="54D63088">
      <w:numFmt w:val="bullet"/>
      <w:lvlText w:val="•"/>
      <w:lvlJc w:val="left"/>
      <w:pPr>
        <w:ind w:left="5200" w:hanging="287"/>
      </w:pPr>
      <w:rPr>
        <w:rFonts w:hint="default"/>
      </w:rPr>
    </w:lvl>
    <w:lvl w:ilvl="6" w:tplc="2C96F1B6">
      <w:numFmt w:val="bullet"/>
      <w:lvlText w:val="•"/>
      <w:lvlJc w:val="left"/>
      <w:pPr>
        <w:ind w:left="6076" w:hanging="287"/>
      </w:pPr>
      <w:rPr>
        <w:rFonts w:hint="default"/>
      </w:rPr>
    </w:lvl>
    <w:lvl w:ilvl="7" w:tplc="97D8BE1C">
      <w:numFmt w:val="bullet"/>
      <w:lvlText w:val="•"/>
      <w:lvlJc w:val="left"/>
      <w:pPr>
        <w:ind w:left="6952" w:hanging="287"/>
      </w:pPr>
      <w:rPr>
        <w:rFonts w:hint="default"/>
      </w:rPr>
    </w:lvl>
    <w:lvl w:ilvl="8" w:tplc="CA6ACFB2">
      <w:numFmt w:val="bullet"/>
      <w:lvlText w:val="•"/>
      <w:lvlJc w:val="left"/>
      <w:pPr>
        <w:ind w:left="7828" w:hanging="287"/>
      </w:pPr>
      <w:rPr>
        <w:rFonts w:hint="default"/>
      </w:rPr>
    </w:lvl>
  </w:abstractNum>
  <w:num w:numId="1" w16cid:durableId="1795905133">
    <w:abstractNumId w:val="1"/>
  </w:num>
  <w:num w:numId="2" w16cid:durableId="763841836">
    <w:abstractNumId w:val="2"/>
  </w:num>
  <w:num w:numId="3" w16cid:durableId="91882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2F"/>
    <w:rsid w:val="00064D77"/>
    <w:rsid w:val="00065A08"/>
    <w:rsid w:val="000A471F"/>
    <w:rsid w:val="000B1C72"/>
    <w:rsid w:val="001C5D99"/>
    <w:rsid w:val="00252713"/>
    <w:rsid w:val="002B07EC"/>
    <w:rsid w:val="002E5246"/>
    <w:rsid w:val="002E7214"/>
    <w:rsid w:val="00495A20"/>
    <w:rsid w:val="004E7F03"/>
    <w:rsid w:val="004F42EF"/>
    <w:rsid w:val="005054A0"/>
    <w:rsid w:val="00554CD1"/>
    <w:rsid w:val="005A113B"/>
    <w:rsid w:val="005B7855"/>
    <w:rsid w:val="005D23DE"/>
    <w:rsid w:val="0062655F"/>
    <w:rsid w:val="006577AE"/>
    <w:rsid w:val="00692795"/>
    <w:rsid w:val="006B69FC"/>
    <w:rsid w:val="006C21A9"/>
    <w:rsid w:val="006C3F17"/>
    <w:rsid w:val="00705BAB"/>
    <w:rsid w:val="00790752"/>
    <w:rsid w:val="00793F06"/>
    <w:rsid w:val="00822F70"/>
    <w:rsid w:val="008601DF"/>
    <w:rsid w:val="008906E0"/>
    <w:rsid w:val="008E5158"/>
    <w:rsid w:val="009762FD"/>
    <w:rsid w:val="00976F85"/>
    <w:rsid w:val="00A22CD3"/>
    <w:rsid w:val="00A33316"/>
    <w:rsid w:val="00A40A52"/>
    <w:rsid w:val="00A50B2F"/>
    <w:rsid w:val="00A82A3F"/>
    <w:rsid w:val="00AC15CE"/>
    <w:rsid w:val="00B17C9C"/>
    <w:rsid w:val="00B95243"/>
    <w:rsid w:val="00BD3B24"/>
    <w:rsid w:val="00C80D59"/>
    <w:rsid w:val="00CC3963"/>
    <w:rsid w:val="00CE1B18"/>
    <w:rsid w:val="00DD0DE1"/>
    <w:rsid w:val="00DE168F"/>
    <w:rsid w:val="00F0199E"/>
    <w:rsid w:val="00F11D5E"/>
    <w:rsid w:val="00F4694E"/>
    <w:rsid w:val="00F608DA"/>
    <w:rsid w:val="00F86A3E"/>
    <w:rsid w:val="00F91FC4"/>
    <w:rsid w:val="00FA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FFF9"/>
  <w15:docId w15:val="{8224C48D-EC72-4DBE-B0DB-B94911D7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
      <w:ind w:left="90" w:right="1955"/>
      <w:jc w:val="center"/>
      <w:outlineLvl w:val="0"/>
    </w:pPr>
    <w:rPr>
      <w:b/>
      <w:bCs/>
      <w:sz w:val="24"/>
      <w:szCs w:val="24"/>
    </w:rPr>
  </w:style>
  <w:style w:type="paragraph" w:styleId="Heading2">
    <w:name w:val="heading 2"/>
    <w:basedOn w:val="Normal"/>
    <w:uiPriority w:val="1"/>
    <w:qFormat/>
    <w:pPr>
      <w:spacing w:before="196"/>
      <w:ind w:left="10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9"/>
    </w:pPr>
    <w:rPr>
      <w:sz w:val="24"/>
      <w:szCs w:val="24"/>
    </w:rPr>
  </w:style>
  <w:style w:type="paragraph" w:styleId="ListParagraph">
    <w:name w:val="List Paragraph"/>
    <w:basedOn w:val="Normal"/>
    <w:uiPriority w:val="1"/>
    <w:qFormat/>
    <w:pPr>
      <w:spacing w:before="199"/>
      <w:ind w:left="82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52713"/>
    <w:rPr>
      <w:sz w:val="16"/>
      <w:szCs w:val="16"/>
    </w:rPr>
  </w:style>
  <w:style w:type="paragraph" w:styleId="CommentText">
    <w:name w:val="annotation text"/>
    <w:basedOn w:val="Normal"/>
    <w:link w:val="CommentTextChar"/>
    <w:uiPriority w:val="99"/>
    <w:semiHidden/>
    <w:unhideWhenUsed/>
    <w:rsid w:val="00252713"/>
    <w:rPr>
      <w:sz w:val="20"/>
      <w:szCs w:val="20"/>
    </w:rPr>
  </w:style>
  <w:style w:type="character" w:customStyle="1" w:styleId="CommentTextChar">
    <w:name w:val="Comment Text Char"/>
    <w:basedOn w:val="DefaultParagraphFont"/>
    <w:link w:val="CommentText"/>
    <w:uiPriority w:val="99"/>
    <w:semiHidden/>
    <w:rsid w:val="002527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713"/>
    <w:rPr>
      <w:b/>
      <w:bCs/>
    </w:rPr>
  </w:style>
  <w:style w:type="character" w:customStyle="1" w:styleId="CommentSubjectChar">
    <w:name w:val="Comment Subject Char"/>
    <w:basedOn w:val="CommentTextChar"/>
    <w:link w:val="CommentSubject"/>
    <w:uiPriority w:val="99"/>
    <w:semiHidden/>
    <w:rsid w:val="002527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52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13"/>
    <w:rPr>
      <w:rFonts w:ascii="Segoe UI" w:eastAsia="Times New Roman" w:hAnsi="Segoe UI" w:cs="Segoe UI"/>
      <w:sz w:val="18"/>
      <w:szCs w:val="18"/>
    </w:rPr>
  </w:style>
  <w:style w:type="paragraph" w:styleId="Header">
    <w:name w:val="header"/>
    <w:basedOn w:val="Normal"/>
    <w:link w:val="HeaderChar"/>
    <w:uiPriority w:val="99"/>
    <w:unhideWhenUsed/>
    <w:rsid w:val="005A113B"/>
    <w:pPr>
      <w:tabs>
        <w:tab w:val="center" w:pos="4680"/>
        <w:tab w:val="right" w:pos="9360"/>
      </w:tabs>
    </w:pPr>
  </w:style>
  <w:style w:type="character" w:customStyle="1" w:styleId="HeaderChar">
    <w:name w:val="Header Char"/>
    <w:basedOn w:val="DefaultParagraphFont"/>
    <w:link w:val="Header"/>
    <w:uiPriority w:val="99"/>
    <w:rsid w:val="005A113B"/>
    <w:rPr>
      <w:rFonts w:ascii="Times New Roman" w:eastAsia="Times New Roman" w:hAnsi="Times New Roman" w:cs="Times New Roman"/>
    </w:rPr>
  </w:style>
  <w:style w:type="paragraph" w:styleId="Footer">
    <w:name w:val="footer"/>
    <w:basedOn w:val="Normal"/>
    <w:link w:val="FooterChar"/>
    <w:uiPriority w:val="99"/>
    <w:unhideWhenUsed/>
    <w:rsid w:val="005A113B"/>
    <w:pPr>
      <w:tabs>
        <w:tab w:val="center" w:pos="4680"/>
        <w:tab w:val="right" w:pos="9360"/>
      </w:tabs>
    </w:pPr>
  </w:style>
  <w:style w:type="character" w:customStyle="1" w:styleId="FooterChar">
    <w:name w:val="Footer Char"/>
    <w:basedOn w:val="DefaultParagraphFont"/>
    <w:link w:val="Footer"/>
    <w:uiPriority w:val="99"/>
    <w:rsid w:val="005A113B"/>
    <w:rPr>
      <w:rFonts w:ascii="Times New Roman" w:eastAsia="Times New Roman" w:hAnsi="Times New Roman" w:cs="Times New Roman"/>
    </w:rPr>
  </w:style>
  <w:style w:type="character" w:customStyle="1" w:styleId="LBFileStampAtCursor">
    <w:name w:val="*LBFileStampAtCursor"/>
    <w:aliases w:val="FSC"/>
    <w:basedOn w:val="DefaultParagraphFont"/>
    <w:rsid w:val="005A113B"/>
    <w:rPr>
      <w:rFonts w:ascii="Times New Roman" w:hAnsi="Times New Roman" w:cs="Times New Roman"/>
      <w:sz w:val="16"/>
      <w:szCs w:val="32"/>
    </w:rPr>
  </w:style>
  <w:style w:type="paragraph" w:customStyle="1" w:styleId="LBFileStampAtEnd">
    <w:name w:val="*LBFileStampAtEnd"/>
    <w:aliases w:val="FSE"/>
    <w:basedOn w:val="Normal"/>
    <w:rsid w:val="005A113B"/>
    <w:pPr>
      <w:widowControl/>
      <w:tabs>
        <w:tab w:val="center" w:pos="4680"/>
        <w:tab w:val="right" w:pos="9360"/>
      </w:tabs>
      <w:autoSpaceDE/>
      <w:autoSpaceDN/>
      <w:spacing w:before="40"/>
    </w:pPr>
    <w:rPr>
      <w:sz w:val="16"/>
      <w:szCs w:val="32"/>
    </w:rPr>
  </w:style>
  <w:style w:type="paragraph" w:styleId="HTMLPreformatted">
    <w:name w:val="HTML Preformatted"/>
    <w:basedOn w:val="Normal"/>
    <w:link w:val="HTMLPreformattedChar"/>
    <w:uiPriority w:val="99"/>
    <w:semiHidden/>
    <w:unhideWhenUsed/>
    <w:rsid w:val="00CE1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E1B1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Foukas (Salt Lake City)</dc:creator>
  <cp:lastModifiedBy>Andrew Masuda (Salt Lake City)</cp:lastModifiedBy>
  <cp:revision>2</cp:revision>
  <dcterms:created xsi:type="dcterms:W3CDTF">2023-05-11T16:24:00Z</dcterms:created>
  <dcterms:modified xsi:type="dcterms:W3CDTF">2023-05-11T16:24:00Z</dcterms:modified>
</cp:coreProperties>
</file>